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94" w:rsidRPr="00E15A94" w:rsidRDefault="00E15A94" w:rsidP="00E15A94">
      <w:pPr>
        <w:tabs>
          <w:tab w:val="left" w:pos="426"/>
        </w:tabs>
        <w:spacing w:before="120"/>
        <w:jc w:val="center"/>
        <w:rPr>
          <w:b/>
          <w:bCs/>
          <w:sz w:val="22"/>
          <w:szCs w:val="22"/>
          <w:u w:val="single"/>
        </w:rPr>
      </w:pPr>
      <w:r w:rsidRPr="00E15A94">
        <w:rPr>
          <w:b/>
          <w:bCs/>
          <w:sz w:val="22"/>
          <w:szCs w:val="22"/>
          <w:u w:val="single"/>
        </w:rPr>
        <w:t>Selectio</w:t>
      </w:r>
      <w:r w:rsidRPr="00E15A94">
        <w:rPr>
          <w:b/>
          <w:bCs/>
          <w:sz w:val="22"/>
          <w:szCs w:val="22"/>
          <w:u w:val="single"/>
        </w:rPr>
        <w:t>n criteria for eligible Local NGOs/CBOs</w:t>
      </w:r>
    </w:p>
    <w:p w:rsidR="00E15A94" w:rsidRDefault="00E15A94" w:rsidP="00E15A94">
      <w:pPr>
        <w:tabs>
          <w:tab w:val="left" w:pos="426"/>
        </w:tabs>
        <w:spacing w:before="120"/>
        <w:jc w:val="center"/>
        <w:rPr>
          <w:sz w:val="22"/>
          <w:szCs w:val="22"/>
          <w:u w:val="single"/>
        </w:rPr>
      </w:pPr>
      <w:bookmarkStart w:id="0" w:name="_GoBack"/>
      <w:bookmarkEnd w:id="0"/>
    </w:p>
    <w:p w:rsidR="00E15A94" w:rsidRDefault="00E15A94" w:rsidP="00E15A94">
      <w:pPr>
        <w:tabs>
          <w:tab w:val="left" w:pos="426"/>
        </w:tabs>
        <w:spacing w:before="120"/>
        <w:jc w:val="both"/>
        <w:rPr>
          <w:sz w:val="22"/>
          <w:szCs w:val="22"/>
        </w:rPr>
      </w:pPr>
      <w:r w:rsidRPr="00E33914">
        <w:rPr>
          <w:sz w:val="22"/>
          <w:szCs w:val="22"/>
          <w:u w:val="single"/>
        </w:rPr>
        <w:t xml:space="preserve">Types of </w:t>
      </w:r>
      <w:r>
        <w:rPr>
          <w:sz w:val="22"/>
          <w:szCs w:val="22"/>
          <w:u w:val="single"/>
        </w:rPr>
        <w:t xml:space="preserve">eligible </w:t>
      </w:r>
      <w:r w:rsidRPr="00E33914">
        <w:rPr>
          <w:sz w:val="22"/>
          <w:szCs w:val="22"/>
          <w:u w:val="single"/>
        </w:rPr>
        <w:t>entity/categories of person eligible to receive financial support</w:t>
      </w:r>
      <w:r>
        <w:rPr>
          <w:sz w:val="22"/>
          <w:szCs w:val="22"/>
        </w:rPr>
        <w:t xml:space="preserve">: Under </w:t>
      </w:r>
      <w:proofErr w:type="gramStart"/>
      <w:r>
        <w:rPr>
          <w:sz w:val="22"/>
          <w:szCs w:val="22"/>
        </w:rPr>
        <w:t>this</w:t>
      </w:r>
      <w:proofErr w:type="gramEnd"/>
      <w:r>
        <w:rPr>
          <w:sz w:val="22"/>
          <w:szCs w:val="22"/>
        </w:rPr>
        <w:t xml:space="preserve"> Call parties eligible for support are mostly local Cambodian CSO partners or CBOs or persons with the potential to help achieve the objectives of this proposal. They are neither affiliated entities, nor associated with or contractors of the applicant (CARE). Government agencies </w:t>
      </w:r>
      <w:proofErr w:type="gramStart"/>
      <w:r>
        <w:rPr>
          <w:sz w:val="22"/>
          <w:szCs w:val="22"/>
        </w:rPr>
        <w:t>are excluded</w:t>
      </w:r>
      <w:proofErr w:type="gramEnd"/>
      <w:r>
        <w:rPr>
          <w:sz w:val="22"/>
          <w:szCs w:val="22"/>
        </w:rPr>
        <w:t xml:space="preserve"> from applying for a sub-grant.</w:t>
      </w:r>
    </w:p>
    <w:p w:rsidR="00E15A94" w:rsidRDefault="00E15A94" w:rsidP="00E15A94">
      <w:pPr>
        <w:tabs>
          <w:tab w:val="left" w:pos="426"/>
        </w:tabs>
        <w:spacing w:before="120"/>
        <w:jc w:val="both"/>
        <w:rPr>
          <w:sz w:val="22"/>
          <w:szCs w:val="22"/>
        </w:rPr>
      </w:pPr>
      <w:r w:rsidRPr="00077030">
        <w:rPr>
          <w:sz w:val="22"/>
          <w:szCs w:val="22"/>
          <w:u w:val="single"/>
        </w:rPr>
        <w:t>Selection criteria for eligible entities</w:t>
      </w:r>
      <w:r>
        <w:rPr>
          <w:sz w:val="22"/>
          <w:szCs w:val="22"/>
        </w:rPr>
        <w:t>: Local NGOs who received funding in the previous I-SAF project as sub-grantees and have been intensively trained in I-SAF implementation will be reassessed and scored the on the basis of the following criteria.</w:t>
      </w:r>
    </w:p>
    <w:p w:rsidR="00E15A94" w:rsidRDefault="00E15A94" w:rsidP="00E15A94">
      <w:pPr>
        <w:tabs>
          <w:tab w:val="left" w:pos="426"/>
        </w:tabs>
        <w:spacing w:before="120"/>
        <w:jc w:val="both"/>
        <w:rPr>
          <w:sz w:val="22"/>
          <w:szCs w:val="22"/>
        </w:rPr>
      </w:pP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5839"/>
      </w:tblGrid>
      <w:tr w:rsidR="00E15A94" w:rsidRPr="00D47EC0" w:rsidTr="005D2FA9">
        <w:trPr>
          <w:trHeight w:val="304"/>
          <w:jc w:val="center"/>
        </w:trPr>
        <w:tc>
          <w:tcPr>
            <w:tcW w:w="3008" w:type="dxa"/>
            <w:vMerge w:val="restart"/>
          </w:tcPr>
          <w:p w:rsidR="00E15A94" w:rsidRPr="00743164" w:rsidRDefault="00E15A94" w:rsidP="005D2FA9">
            <w:pPr>
              <w:jc w:val="both"/>
              <w:rPr>
                <w:b/>
                <w:sz w:val="22"/>
                <w:szCs w:val="22"/>
                <w:lang w:val="en-AU"/>
              </w:rPr>
            </w:pPr>
            <w:r w:rsidRPr="00743164">
              <w:rPr>
                <w:b/>
                <w:sz w:val="22"/>
                <w:szCs w:val="22"/>
                <w:lang w:val="en-AU"/>
              </w:rPr>
              <w:t>Organizational</w:t>
            </w:r>
          </w:p>
        </w:tc>
        <w:tc>
          <w:tcPr>
            <w:tcW w:w="5839" w:type="dxa"/>
            <w:vAlign w:val="bottom"/>
          </w:tcPr>
          <w:p w:rsidR="00E15A94" w:rsidRPr="00743164" w:rsidRDefault="00E15A94" w:rsidP="00E15A94">
            <w:pPr>
              <w:numPr>
                <w:ilvl w:val="0"/>
                <w:numId w:val="3"/>
              </w:numPr>
              <w:jc w:val="both"/>
              <w:rPr>
                <w:sz w:val="22"/>
                <w:szCs w:val="22"/>
                <w:u w:val="single"/>
                <w:lang w:val="en-AU"/>
              </w:rPr>
            </w:pPr>
            <w:r w:rsidRPr="00743164">
              <w:rPr>
                <w:sz w:val="22"/>
                <w:szCs w:val="22"/>
                <w:lang w:val="en-AU"/>
              </w:rPr>
              <w:t>Registration with relevant government agency</w:t>
            </w:r>
          </w:p>
        </w:tc>
      </w:tr>
      <w:tr w:rsidR="00E15A94" w:rsidRPr="00D47EC0" w:rsidTr="005D2FA9">
        <w:trPr>
          <w:trHeight w:val="304"/>
          <w:jc w:val="center"/>
        </w:trPr>
        <w:tc>
          <w:tcPr>
            <w:tcW w:w="3008" w:type="dxa"/>
            <w:vMerge/>
          </w:tcPr>
          <w:p w:rsidR="00E15A94" w:rsidRPr="00743164" w:rsidRDefault="00E15A94" w:rsidP="005D2FA9">
            <w:pPr>
              <w:jc w:val="both"/>
              <w:rPr>
                <w:sz w:val="22"/>
                <w:szCs w:val="22"/>
                <w:lang w:val="en-AU"/>
              </w:rPr>
            </w:pPr>
          </w:p>
        </w:tc>
        <w:tc>
          <w:tcPr>
            <w:tcW w:w="5839" w:type="dxa"/>
            <w:vAlign w:val="bottom"/>
          </w:tcPr>
          <w:p w:rsidR="00E15A94" w:rsidRPr="00743164" w:rsidRDefault="00E15A94" w:rsidP="00E15A94">
            <w:pPr>
              <w:numPr>
                <w:ilvl w:val="0"/>
                <w:numId w:val="3"/>
              </w:numPr>
              <w:jc w:val="both"/>
              <w:rPr>
                <w:sz w:val="22"/>
                <w:szCs w:val="22"/>
                <w:lang w:val="en-AU"/>
              </w:rPr>
            </w:pPr>
            <w:r>
              <w:rPr>
                <w:sz w:val="22"/>
                <w:szCs w:val="22"/>
                <w:lang w:val="en-AU"/>
              </w:rPr>
              <w:t>E</w:t>
            </w:r>
            <w:r w:rsidRPr="00743164">
              <w:rPr>
                <w:sz w:val="22"/>
                <w:szCs w:val="22"/>
                <w:lang w:val="en-AU"/>
              </w:rPr>
              <w:t>stablished for at least 2 years</w:t>
            </w:r>
          </w:p>
        </w:tc>
      </w:tr>
      <w:tr w:rsidR="00E15A94" w:rsidRPr="00D47EC0" w:rsidTr="005D2FA9">
        <w:trPr>
          <w:trHeight w:val="304"/>
          <w:jc w:val="center"/>
        </w:trPr>
        <w:tc>
          <w:tcPr>
            <w:tcW w:w="3008" w:type="dxa"/>
            <w:vMerge/>
          </w:tcPr>
          <w:p w:rsidR="00E15A94" w:rsidRPr="00743164" w:rsidRDefault="00E15A94" w:rsidP="005D2FA9">
            <w:pPr>
              <w:jc w:val="both"/>
              <w:rPr>
                <w:sz w:val="22"/>
                <w:szCs w:val="22"/>
                <w:lang w:val="en-AU"/>
              </w:rPr>
            </w:pPr>
          </w:p>
        </w:tc>
        <w:tc>
          <w:tcPr>
            <w:tcW w:w="5839" w:type="dxa"/>
            <w:vAlign w:val="bottom"/>
          </w:tcPr>
          <w:p w:rsidR="00E15A94" w:rsidRPr="00743164" w:rsidRDefault="00E15A94" w:rsidP="00E15A94">
            <w:pPr>
              <w:numPr>
                <w:ilvl w:val="0"/>
                <w:numId w:val="3"/>
              </w:numPr>
              <w:jc w:val="both"/>
              <w:rPr>
                <w:sz w:val="22"/>
                <w:szCs w:val="22"/>
                <w:u w:val="single"/>
                <w:lang w:val="en-AU"/>
              </w:rPr>
            </w:pPr>
            <w:r w:rsidRPr="00743164">
              <w:rPr>
                <w:sz w:val="22"/>
                <w:szCs w:val="22"/>
                <w:lang w:val="en-AU"/>
              </w:rPr>
              <w:t>An active Board of Directors</w:t>
            </w:r>
          </w:p>
        </w:tc>
      </w:tr>
      <w:tr w:rsidR="00E15A94" w:rsidRPr="00D47EC0" w:rsidTr="005D2FA9">
        <w:trPr>
          <w:trHeight w:val="304"/>
          <w:jc w:val="center"/>
        </w:trPr>
        <w:tc>
          <w:tcPr>
            <w:tcW w:w="3008" w:type="dxa"/>
            <w:vMerge/>
          </w:tcPr>
          <w:p w:rsidR="00E15A94" w:rsidRPr="00743164" w:rsidRDefault="00E15A94" w:rsidP="005D2FA9">
            <w:pPr>
              <w:jc w:val="both"/>
              <w:rPr>
                <w:sz w:val="22"/>
                <w:szCs w:val="22"/>
                <w:lang w:val="en-AU"/>
              </w:rPr>
            </w:pPr>
          </w:p>
        </w:tc>
        <w:tc>
          <w:tcPr>
            <w:tcW w:w="5839" w:type="dxa"/>
            <w:vAlign w:val="bottom"/>
          </w:tcPr>
          <w:p w:rsidR="00E15A94" w:rsidRPr="00743164" w:rsidRDefault="00E15A94" w:rsidP="00E15A94">
            <w:pPr>
              <w:numPr>
                <w:ilvl w:val="0"/>
                <w:numId w:val="3"/>
              </w:numPr>
              <w:jc w:val="both"/>
              <w:rPr>
                <w:sz w:val="22"/>
                <w:szCs w:val="22"/>
                <w:u w:val="single"/>
                <w:lang w:val="en-AU"/>
              </w:rPr>
            </w:pPr>
            <w:r w:rsidRPr="00743164">
              <w:rPr>
                <w:sz w:val="22"/>
                <w:szCs w:val="22"/>
                <w:lang w:val="en-AU"/>
              </w:rPr>
              <w:t>Mission and Vision Statement</w:t>
            </w:r>
          </w:p>
        </w:tc>
      </w:tr>
      <w:tr w:rsidR="00E15A94" w:rsidRPr="00D47EC0" w:rsidTr="005D2FA9">
        <w:trPr>
          <w:trHeight w:val="304"/>
          <w:jc w:val="center"/>
        </w:trPr>
        <w:tc>
          <w:tcPr>
            <w:tcW w:w="3008" w:type="dxa"/>
            <w:vMerge/>
          </w:tcPr>
          <w:p w:rsidR="00E15A94" w:rsidRPr="00743164" w:rsidRDefault="00E15A94" w:rsidP="005D2FA9">
            <w:pPr>
              <w:jc w:val="both"/>
              <w:rPr>
                <w:sz w:val="22"/>
                <w:szCs w:val="22"/>
                <w:lang w:val="en-AU"/>
              </w:rPr>
            </w:pPr>
          </w:p>
        </w:tc>
        <w:tc>
          <w:tcPr>
            <w:tcW w:w="5839" w:type="dxa"/>
            <w:vAlign w:val="bottom"/>
          </w:tcPr>
          <w:p w:rsidR="00E15A94" w:rsidRPr="00743164" w:rsidRDefault="00E15A94" w:rsidP="00E15A94">
            <w:pPr>
              <w:numPr>
                <w:ilvl w:val="0"/>
                <w:numId w:val="3"/>
              </w:numPr>
              <w:jc w:val="both"/>
              <w:rPr>
                <w:sz w:val="22"/>
                <w:szCs w:val="22"/>
                <w:u w:val="single"/>
                <w:lang w:val="en-AU"/>
              </w:rPr>
            </w:pPr>
            <w:r w:rsidRPr="00743164">
              <w:rPr>
                <w:sz w:val="22"/>
                <w:szCs w:val="22"/>
                <w:lang w:val="en-AU"/>
              </w:rPr>
              <w:t>Accountable and transparent management structure</w:t>
            </w:r>
            <w:r w:rsidRPr="00743164">
              <w:rPr>
                <w:sz w:val="22"/>
                <w:szCs w:val="22"/>
                <w:u w:val="single"/>
                <w:lang w:val="en-AU"/>
              </w:rPr>
              <w:t xml:space="preserve"> </w:t>
            </w:r>
          </w:p>
        </w:tc>
      </w:tr>
      <w:tr w:rsidR="00E15A94" w:rsidRPr="00D47EC0" w:rsidTr="005D2FA9">
        <w:trPr>
          <w:trHeight w:val="304"/>
          <w:jc w:val="center"/>
        </w:trPr>
        <w:tc>
          <w:tcPr>
            <w:tcW w:w="3008" w:type="dxa"/>
            <w:vMerge/>
          </w:tcPr>
          <w:p w:rsidR="00E15A94" w:rsidRPr="00743164" w:rsidRDefault="00E15A94" w:rsidP="005D2FA9">
            <w:pPr>
              <w:jc w:val="both"/>
              <w:rPr>
                <w:sz w:val="22"/>
                <w:szCs w:val="22"/>
                <w:lang w:val="en-AU"/>
              </w:rPr>
            </w:pPr>
          </w:p>
        </w:tc>
        <w:tc>
          <w:tcPr>
            <w:tcW w:w="5839" w:type="dxa"/>
            <w:vAlign w:val="bottom"/>
          </w:tcPr>
          <w:p w:rsidR="00E15A94" w:rsidRPr="00743164" w:rsidRDefault="00E15A94" w:rsidP="00E15A94">
            <w:pPr>
              <w:numPr>
                <w:ilvl w:val="0"/>
                <w:numId w:val="3"/>
              </w:numPr>
              <w:jc w:val="both"/>
              <w:rPr>
                <w:sz w:val="22"/>
                <w:szCs w:val="22"/>
                <w:u w:val="single"/>
                <w:lang w:val="en-AU"/>
              </w:rPr>
            </w:pPr>
            <w:r w:rsidRPr="00743164">
              <w:rPr>
                <w:sz w:val="22"/>
                <w:szCs w:val="22"/>
                <w:lang w:val="en-AU"/>
              </w:rPr>
              <w:t>Finance, Procurement  and Administration Manual</w:t>
            </w:r>
          </w:p>
        </w:tc>
      </w:tr>
      <w:tr w:rsidR="00E15A94" w:rsidRPr="00D47EC0" w:rsidTr="005D2FA9">
        <w:trPr>
          <w:trHeight w:val="304"/>
          <w:jc w:val="center"/>
        </w:trPr>
        <w:tc>
          <w:tcPr>
            <w:tcW w:w="3008" w:type="dxa"/>
            <w:vMerge/>
          </w:tcPr>
          <w:p w:rsidR="00E15A94" w:rsidRPr="00743164" w:rsidRDefault="00E15A94" w:rsidP="005D2FA9">
            <w:pPr>
              <w:jc w:val="both"/>
              <w:rPr>
                <w:sz w:val="22"/>
                <w:szCs w:val="22"/>
                <w:lang w:val="en-AU"/>
              </w:rPr>
            </w:pPr>
          </w:p>
        </w:tc>
        <w:tc>
          <w:tcPr>
            <w:tcW w:w="5839" w:type="dxa"/>
            <w:vAlign w:val="bottom"/>
          </w:tcPr>
          <w:p w:rsidR="00E15A94" w:rsidRPr="00743164" w:rsidRDefault="00E15A94" w:rsidP="00E15A94">
            <w:pPr>
              <w:numPr>
                <w:ilvl w:val="0"/>
                <w:numId w:val="3"/>
              </w:numPr>
              <w:jc w:val="both"/>
              <w:rPr>
                <w:sz w:val="22"/>
                <w:szCs w:val="22"/>
                <w:lang w:val="en-AU"/>
              </w:rPr>
            </w:pPr>
            <w:r w:rsidRPr="00743164">
              <w:rPr>
                <w:sz w:val="22"/>
                <w:szCs w:val="22"/>
                <w:lang w:val="en-AU"/>
              </w:rPr>
              <w:t>Project staff with relevant professional experience</w:t>
            </w:r>
          </w:p>
        </w:tc>
      </w:tr>
      <w:tr w:rsidR="00E15A94" w:rsidRPr="00D47EC0" w:rsidTr="005D2FA9">
        <w:trPr>
          <w:trHeight w:val="304"/>
          <w:jc w:val="center"/>
        </w:trPr>
        <w:tc>
          <w:tcPr>
            <w:tcW w:w="3008" w:type="dxa"/>
            <w:vMerge w:val="restart"/>
          </w:tcPr>
          <w:p w:rsidR="00E15A94" w:rsidRPr="00743164" w:rsidRDefault="00E15A94" w:rsidP="005D2FA9">
            <w:pPr>
              <w:jc w:val="both"/>
              <w:rPr>
                <w:b/>
                <w:sz w:val="22"/>
                <w:szCs w:val="22"/>
                <w:lang w:val="en-AU"/>
              </w:rPr>
            </w:pPr>
            <w:r w:rsidRPr="00743164">
              <w:rPr>
                <w:b/>
                <w:sz w:val="22"/>
                <w:szCs w:val="22"/>
                <w:lang w:val="en-AU"/>
              </w:rPr>
              <w:t>Programmatic</w:t>
            </w:r>
          </w:p>
          <w:p w:rsidR="00E15A94" w:rsidRPr="00743164" w:rsidRDefault="00E15A94" w:rsidP="005D2FA9">
            <w:pPr>
              <w:jc w:val="both"/>
              <w:rPr>
                <w:b/>
                <w:sz w:val="22"/>
                <w:szCs w:val="22"/>
                <w:u w:val="single"/>
                <w:lang w:val="en-AU"/>
              </w:rPr>
            </w:pPr>
          </w:p>
          <w:p w:rsidR="00E15A94" w:rsidRPr="00743164" w:rsidRDefault="00E15A94" w:rsidP="005D2FA9">
            <w:pPr>
              <w:jc w:val="both"/>
              <w:rPr>
                <w:b/>
                <w:sz w:val="22"/>
                <w:szCs w:val="22"/>
                <w:u w:val="single"/>
                <w:lang w:val="en-AU"/>
              </w:rPr>
            </w:pPr>
            <w:r w:rsidRPr="00743164">
              <w:rPr>
                <w:b/>
                <w:sz w:val="22"/>
                <w:szCs w:val="22"/>
                <w:u w:val="single"/>
                <w:lang w:val="en-AU"/>
              </w:rPr>
              <w:t xml:space="preserve">Note: </w:t>
            </w:r>
          </w:p>
          <w:p w:rsidR="00E15A94" w:rsidRPr="00743164" w:rsidRDefault="00E15A94" w:rsidP="005D2FA9">
            <w:pPr>
              <w:rPr>
                <w:sz w:val="22"/>
                <w:szCs w:val="22"/>
                <w:lang w:val="en-AU"/>
              </w:rPr>
            </w:pPr>
            <w:r w:rsidRPr="00743164">
              <w:rPr>
                <w:sz w:val="22"/>
                <w:szCs w:val="22"/>
                <w:lang w:val="en-AU"/>
              </w:rPr>
              <w:t>Additional programmatic, organisational and institutional assessments may be required by the program</w:t>
            </w:r>
            <w:r>
              <w:rPr>
                <w:sz w:val="22"/>
                <w:szCs w:val="22"/>
                <w:lang w:val="en-AU"/>
              </w:rPr>
              <w:t>me</w:t>
            </w:r>
            <w:r w:rsidRPr="00743164">
              <w:rPr>
                <w:sz w:val="22"/>
                <w:szCs w:val="22"/>
                <w:lang w:val="en-AU"/>
              </w:rPr>
              <w:t xml:space="preserve"> team</w:t>
            </w:r>
          </w:p>
        </w:tc>
        <w:tc>
          <w:tcPr>
            <w:tcW w:w="5839" w:type="dxa"/>
          </w:tcPr>
          <w:p w:rsidR="00E15A94" w:rsidRPr="00743164" w:rsidRDefault="00E15A94" w:rsidP="00E15A94">
            <w:pPr>
              <w:numPr>
                <w:ilvl w:val="0"/>
                <w:numId w:val="2"/>
              </w:numPr>
              <w:ind w:left="580"/>
              <w:rPr>
                <w:sz w:val="22"/>
                <w:szCs w:val="22"/>
                <w:lang w:val="en-AU"/>
              </w:rPr>
            </w:pPr>
            <w:r w:rsidRPr="00743164">
              <w:rPr>
                <w:sz w:val="22"/>
                <w:szCs w:val="22"/>
                <w:lang w:val="en-AU"/>
              </w:rPr>
              <w:t>Ability to work in partnership with CARE and open to learning and exchange of knowledge and experience</w:t>
            </w:r>
          </w:p>
        </w:tc>
      </w:tr>
      <w:tr w:rsidR="00E15A94" w:rsidRPr="00D47EC0" w:rsidTr="005D2FA9">
        <w:trPr>
          <w:trHeight w:val="304"/>
          <w:jc w:val="center"/>
        </w:trPr>
        <w:tc>
          <w:tcPr>
            <w:tcW w:w="3008" w:type="dxa"/>
            <w:vMerge/>
          </w:tcPr>
          <w:p w:rsidR="00E15A94" w:rsidRPr="00743164" w:rsidRDefault="00E15A94" w:rsidP="005D2FA9">
            <w:pPr>
              <w:jc w:val="both"/>
              <w:rPr>
                <w:b/>
                <w:sz w:val="22"/>
                <w:szCs w:val="22"/>
                <w:lang w:val="en-AU"/>
              </w:rPr>
            </w:pPr>
          </w:p>
        </w:tc>
        <w:tc>
          <w:tcPr>
            <w:tcW w:w="5839" w:type="dxa"/>
          </w:tcPr>
          <w:p w:rsidR="00E15A94" w:rsidRPr="00743164" w:rsidRDefault="00E15A94" w:rsidP="00E15A94">
            <w:pPr>
              <w:numPr>
                <w:ilvl w:val="0"/>
                <w:numId w:val="2"/>
              </w:numPr>
              <w:ind w:left="580"/>
              <w:rPr>
                <w:sz w:val="22"/>
                <w:szCs w:val="22"/>
                <w:lang w:val="en-AU"/>
              </w:rPr>
            </w:pPr>
            <w:r w:rsidRPr="00743164">
              <w:rPr>
                <w:sz w:val="22"/>
                <w:szCs w:val="22"/>
                <w:lang w:val="en-AU"/>
              </w:rPr>
              <w:t>Scope to contribute to CARE’s program objectives</w:t>
            </w:r>
          </w:p>
        </w:tc>
      </w:tr>
      <w:tr w:rsidR="00E15A94" w:rsidRPr="00D47EC0" w:rsidTr="005D2FA9">
        <w:trPr>
          <w:trHeight w:val="615"/>
          <w:jc w:val="center"/>
        </w:trPr>
        <w:tc>
          <w:tcPr>
            <w:tcW w:w="3008" w:type="dxa"/>
            <w:vMerge/>
          </w:tcPr>
          <w:p w:rsidR="00E15A94" w:rsidRPr="00743164" w:rsidRDefault="00E15A94" w:rsidP="005D2FA9">
            <w:pPr>
              <w:jc w:val="both"/>
              <w:rPr>
                <w:b/>
                <w:sz w:val="22"/>
                <w:szCs w:val="22"/>
                <w:u w:val="single"/>
                <w:lang w:val="en-AU"/>
              </w:rPr>
            </w:pPr>
          </w:p>
        </w:tc>
        <w:tc>
          <w:tcPr>
            <w:tcW w:w="5839" w:type="dxa"/>
          </w:tcPr>
          <w:p w:rsidR="00E15A94" w:rsidRPr="00743164" w:rsidRDefault="00E15A94" w:rsidP="00E15A94">
            <w:pPr>
              <w:numPr>
                <w:ilvl w:val="0"/>
                <w:numId w:val="2"/>
              </w:numPr>
              <w:ind w:left="580"/>
              <w:rPr>
                <w:sz w:val="22"/>
                <w:szCs w:val="22"/>
                <w:lang w:val="en-AU"/>
              </w:rPr>
            </w:pPr>
            <w:r w:rsidRPr="00743164">
              <w:rPr>
                <w:sz w:val="22"/>
                <w:szCs w:val="22"/>
                <w:lang w:val="en-AU"/>
              </w:rPr>
              <w:t xml:space="preserve">Intended </w:t>
            </w:r>
            <w:r>
              <w:rPr>
                <w:sz w:val="22"/>
                <w:szCs w:val="22"/>
                <w:lang w:val="en-AU"/>
              </w:rPr>
              <w:t>a</w:t>
            </w:r>
            <w:r w:rsidRPr="00743164">
              <w:rPr>
                <w:sz w:val="22"/>
                <w:szCs w:val="22"/>
                <w:lang w:val="en-AU"/>
              </w:rPr>
              <w:t>ctivities contribution towards project objectives and overall goal</w:t>
            </w:r>
          </w:p>
        </w:tc>
      </w:tr>
      <w:tr w:rsidR="00E15A94" w:rsidRPr="00D47EC0" w:rsidTr="005D2FA9">
        <w:trPr>
          <w:trHeight w:val="304"/>
          <w:jc w:val="center"/>
        </w:trPr>
        <w:tc>
          <w:tcPr>
            <w:tcW w:w="3008" w:type="dxa"/>
            <w:vMerge/>
          </w:tcPr>
          <w:p w:rsidR="00E15A94" w:rsidRPr="00743164" w:rsidRDefault="00E15A94" w:rsidP="005D2FA9">
            <w:pPr>
              <w:jc w:val="both"/>
              <w:rPr>
                <w:b/>
                <w:sz w:val="22"/>
                <w:szCs w:val="22"/>
                <w:u w:val="single"/>
                <w:lang w:val="en-AU"/>
              </w:rPr>
            </w:pPr>
          </w:p>
        </w:tc>
        <w:tc>
          <w:tcPr>
            <w:tcW w:w="5839"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 xml:space="preserve">Good development </w:t>
            </w:r>
            <w:r>
              <w:rPr>
                <w:sz w:val="22"/>
                <w:szCs w:val="22"/>
                <w:lang w:val="en-AU"/>
              </w:rPr>
              <w:t>practices</w:t>
            </w:r>
          </w:p>
        </w:tc>
      </w:tr>
      <w:tr w:rsidR="00E15A94" w:rsidRPr="00D47EC0" w:rsidTr="005D2FA9">
        <w:trPr>
          <w:trHeight w:val="304"/>
          <w:jc w:val="center"/>
        </w:trPr>
        <w:tc>
          <w:tcPr>
            <w:tcW w:w="3008" w:type="dxa"/>
            <w:vMerge/>
          </w:tcPr>
          <w:p w:rsidR="00E15A94" w:rsidRPr="00743164" w:rsidRDefault="00E15A94" w:rsidP="005D2FA9">
            <w:pPr>
              <w:jc w:val="both"/>
              <w:rPr>
                <w:b/>
                <w:sz w:val="22"/>
                <w:szCs w:val="22"/>
                <w:u w:val="single"/>
                <w:lang w:val="en-AU"/>
              </w:rPr>
            </w:pPr>
          </w:p>
        </w:tc>
        <w:tc>
          <w:tcPr>
            <w:tcW w:w="5839" w:type="dxa"/>
          </w:tcPr>
          <w:p w:rsidR="00E15A94" w:rsidRPr="00743164" w:rsidRDefault="00E15A94" w:rsidP="00E15A94">
            <w:pPr>
              <w:numPr>
                <w:ilvl w:val="0"/>
                <w:numId w:val="2"/>
              </w:numPr>
              <w:ind w:left="580"/>
              <w:rPr>
                <w:sz w:val="22"/>
                <w:szCs w:val="22"/>
                <w:lang w:val="en-AU"/>
              </w:rPr>
            </w:pPr>
            <w:r>
              <w:rPr>
                <w:sz w:val="22"/>
                <w:szCs w:val="22"/>
                <w:lang w:val="en-AU"/>
              </w:rPr>
              <w:t xml:space="preserve">Adequate monitoring </w:t>
            </w:r>
            <w:r w:rsidRPr="00743164">
              <w:rPr>
                <w:sz w:val="22"/>
                <w:szCs w:val="22"/>
                <w:lang w:val="en-AU"/>
              </w:rPr>
              <w:t>and evaluation plan</w:t>
            </w:r>
          </w:p>
        </w:tc>
      </w:tr>
      <w:tr w:rsidR="00E15A94" w:rsidRPr="00D47EC0" w:rsidTr="005D2FA9">
        <w:trPr>
          <w:trHeight w:val="304"/>
          <w:jc w:val="center"/>
        </w:trPr>
        <w:tc>
          <w:tcPr>
            <w:tcW w:w="3008" w:type="dxa"/>
            <w:vMerge/>
          </w:tcPr>
          <w:p w:rsidR="00E15A94" w:rsidRPr="00743164" w:rsidRDefault="00E15A94" w:rsidP="005D2FA9">
            <w:pPr>
              <w:jc w:val="both"/>
              <w:rPr>
                <w:b/>
                <w:sz w:val="22"/>
                <w:szCs w:val="22"/>
                <w:u w:val="single"/>
                <w:lang w:val="en-AU"/>
              </w:rPr>
            </w:pPr>
          </w:p>
        </w:tc>
        <w:tc>
          <w:tcPr>
            <w:tcW w:w="5839" w:type="dxa"/>
          </w:tcPr>
          <w:p w:rsidR="00E15A94" w:rsidRPr="00743164" w:rsidRDefault="00E15A94" w:rsidP="00E15A94">
            <w:pPr>
              <w:numPr>
                <w:ilvl w:val="0"/>
                <w:numId w:val="2"/>
              </w:numPr>
              <w:ind w:left="580"/>
              <w:rPr>
                <w:sz w:val="22"/>
                <w:szCs w:val="22"/>
                <w:lang w:val="en-AU"/>
              </w:rPr>
            </w:pPr>
            <w:r w:rsidRPr="00743164">
              <w:rPr>
                <w:sz w:val="22"/>
                <w:szCs w:val="22"/>
                <w:lang w:val="en-AU"/>
              </w:rPr>
              <w:t>Adopts, or is open to learning gendered approaches</w:t>
            </w:r>
          </w:p>
        </w:tc>
      </w:tr>
      <w:tr w:rsidR="00E15A94" w:rsidRPr="00D47EC0" w:rsidTr="005D2FA9">
        <w:trPr>
          <w:trHeight w:val="304"/>
          <w:jc w:val="center"/>
        </w:trPr>
        <w:tc>
          <w:tcPr>
            <w:tcW w:w="3008" w:type="dxa"/>
            <w:vMerge/>
          </w:tcPr>
          <w:p w:rsidR="00E15A94" w:rsidRPr="00743164" w:rsidRDefault="00E15A94" w:rsidP="005D2FA9">
            <w:pPr>
              <w:jc w:val="both"/>
              <w:rPr>
                <w:b/>
                <w:sz w:val="22"/>
                <w:szCs w:val="22"/>
                <w:u w:val="single"/>
                <w:lang w:val="en-AU"/>
              </w:rPr>
            </w:pPr>
          </w:p>
        </w:tc>
        <w:tc>
          <w:tcPr>
            <w:tcW w:w="5839"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Cost-effective and in line with cost eligibility</w:t>
            </w:r>
          </w:p>
        </w:tc>
      </w:tr>
    </w:tbl>
    <w:p w:rsidR="00E15A94" w:rsidRPr="00743164" w:rsidRDefault="00E15A94" w:rsidP="00E15A94">
      <w:pPr>
        <w:spacing w:before="120"/>
        <w:jc w:val="both"/>
        <w:rPr>
          <w:sz w:val="22"/>
          <w:szCs w:val="22"/>
        </w:rPr>
      </w:pPr>
      <w:r w:rsidRPr="00743164">
        <w:rPr>
          <w:sz w:val="22"/>
          <w:szCs w:val="22"/>
        </w:rPr>
        <w:t>In terms of financial management criteria, CARE will assess and score the following aspects:</w:t>
      </w:r>
    </w:p>
    <w:p w:rsidR="00E15A94" w:rsidRPr="00743164" w:rsidRDefault="00E15A94" w:rsidP="00E15A94">
      <w:pPr>
        <w:jc w:val="both"/>
        <w:rPr>
          <w:sz w:val="22"/>
          <w:szCs w:val="22"/>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5783"/>
      </w:tblGrid>
      <w:tr w:rsidR="00E15A94" w:rsidRPr="00743164" w:rsidTr="005D2FA9">
        <w:trPr>
          <w:cantSplit/>
          <w:trHeight w:val="283"/>
          <w:jc w:val="center"/>
        </w:trPr>
        <w:tc>
          <w:tcPr>
            <w:tcW w:w="2952" w:type="dxa"/>
            <w:vMerge w:val="restart"/>
            <w:tcBorders>
              <w:top w:val="double" w:sz="4" w:space="0" w:color="auto"/>
            </w:tcBorders>
          </w:tcPr>
          <w:p w:rsidR="00E15A94" w:rsidRPr="00743164" w:rsidRDefault="00E15A94" w:rsidP="005D2FA9">
            <w:pPr>
              <w:ind w:left="1440" w:hanging="1440"/>
              <w:jc w:val="both"/>
              <w:rPr>
                <w:b/>
                <w:sz w:val="22"/>
                <w:szCs w:val="22"/>
              </w:rPr>
            </w:pPr>
            <w:r w:rsidRPr="00743164">
              <w:rPr>
                <w:b/>
                <w:sz w:val="22"/>
                <w:szCs w:val="22"/>
                <w:lang w:val="en-AU"/>
              </w:rPr>
              <w:t>Policy</w:t>
            </w:r>
          </w:p>
        </w:tc>
        <w:tc>
          <w:tcPr>
            <w:tcW w:w="5783" w:type="dxa"/>
            <w:tcBorders>
              <w:top w:val="double" w:sz="4" w:space="0" w:color="auto"/>
            </w:tcBorders>
            <w:vAlign w:val="bottom"/>
          </w:tcPr>
          <w:p w:rsidR="00E15A94" w:rsidRPr="00743164" w:rsidRDefault="00E15A94" w:rsidP="00E15A94">
            <w:pPr>
              <w:numPr>
                <w:ilvl w:val="0"/>
                <w:numId w:val="2"/>
              </w:numPr>
              <w:ind w:left="580"/>
              <w:rPr>
                <w:sz w:val="22"/>
                <w:szCs w:val="22"/>
              </w:rPr>
            </w:pPr>
            <w:r w:rsidRPr="00743164">
              <w:rPr>
                <w:sz w:val="22"/>
                <w:szCs w:val="22"/>
              </w:rPr>
              <w:t>Written financial policy and procedures</w:t>
            </w:r>
          </w:p>
        </w:tc>
      </w:tr>
      <w:tr w:rsidR="00E15A94" w:rsidRPr="00743164" w:rsidTr="005D2FA9">
        <w:trPr>
          <w:cantSplit/>
          <w:trHeight w:val="283"/>
          <w:jc w:val="center"/>
        </w:trPr>
        <w:tc>
          <w:tcPr>
            <w:tcW w:w="2952" w:type="dxa"/>
            <w:vMerge/>
            <w:vAlign w:val="center"/>
          </w:tcPr>
          <w:p w:rsidR="00E15A94" w:rsidRPr="00743164" w:rsidRDefault="00E15A94" w:rsidP="005D2FA9">
            <w:pP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Written procurement policy and procedures</w:t>
            </w:r>
          </w:p>
        </w:tc>
      </w:tr>
      <w:tr w:rsidR="00E15A94" w:rsidRPr="00743164" w:rsidTr="005D2FA9">
        <w:trPr>
          <w:cantSplit/>
          <w:trHeight w:val="283"/>
          <w:jc w:val="center"/>
        </w:trPr>
        <w:tc>
          <w:tcPr>
            <w:tcW w:w="2952" w:type="dxa"/>
            <w:vMerge/>
            <w:vAlign w:val="center"/>
          </w:tcPr>
          <w:p w:rsidR="00E15A94" w:rsidRPr="00743164" w:rsidRDefault="00E15A94" w:rsidP="005D2FA9">
            <w:pP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Written administrative policy and procedures</w:t>
            </w:r>
          </w:p>
        </w:tc>
      </w:tr>
      <w:tr w:rsidR="00E15A94" w:rsidRPr="00743164" w:rsidTr="005D2FA9">
        <w:trPr>
          <w:cantSplit/>
          <w:trHeight w:val="314"/>
          <w:jc w:val="center"/>
        </w:trPr>
        <w:tc>
          <w:tcPr>
            <w:tcW w:w="2952" w:type="dxa"/>
            <w:vMerge/>
            <w:vAlign w:val="center"/>
          </w:tcPr>
          <w:p w:rsidR="00E15A94" w:rsidRPr="00743164" w:rsidRDefault="00E15A94" w:rsidP="005D2FA9">
            <w:pP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Written guidelines for cash handling including advances</w:t>
            </w:r>
          </w:p>
        </w:tc>
      </w:tr>
      <w:tr w:rsidR="00E15A94" w:rsidRPr="00743164" w:rsidTr="005D2FA9">
        <w:trPr>
          <w:cantSplit/>
          <w:trHeight w:val="283"/>
          <w:jc w:val="center"/>
        </w:trPr>
        <w:tc>
          <w:tcPr>
            <w:tcW w:w="2952" w:type="dxa"/>
            <w:vMerge/>
            <w:vAlign w:val="center"/>
          </w:tcPr>
          <w:p w:rsidR="00E15A94" w:rsidRPr="00743164" w:rsidRDefault="00E15A94" w:rsidP="005D2FA9">
            <w:pP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Limits of Authority Delegation Schedule</w:t>
            </w:r>
          </w:p>
        </w:tc>
      </w:tr>
      <w:tr w:rsidR="00E15A94" w:rsidRPr="00743164" w:rsidTr="005D2FA9">
        <w:trPr>
          <w:cantSplit/>
          <w:trHeight w:val="283"/>
          <w:jc w:val="center"/>
        </w:trPr>
        <w:tc>
          <w:tcPr>
            <w:tcW w:w="2952" w:type="dxa"/>
            <w:vMerge w:val="restart"/>
          </w:tcPr>
          <w:p w:rsidR="00E15A94" w:rsidRPr="00743164" w:rsidRDefault="00E15A94" w:rsidP="005D2FA9">
            <w:pPr>
              <w:jc w:val="both"/>
              <w:rPr>
                <w:b/>
                <w:sz w:val="22"/>
                <w:szCs w:val="22"/>
                <w:lang w:val="en-AU"/>
              </w:rPr>
            </w:pPr>
            <w:r w:rsidRPr="00743164">
              <w:rPr>
                <w:b/>
                <w:sz w:val="22"/>
                <w:szCs w:val="22"/>
                <w:lang w:val="en-AU"/>
              </w:rPr>
              <w:t xml:space="preserve">Accounting and Financial Report System </w:t>
            </w: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 xml:space="preserve">Accounting software to manage project funds, e.g. chart of accounts   </w:t>
            </w:r>
          </w:p>
        </w:tc>
      </w:tr>
      <w:tr w:rsidR="00E15A94" w:rsidRPr="00743164" w:rsidTr="005D2FA9">
        <w:trPr>
          <w:cantSplit/>
          <w:trHeight w:val="283"/>
          <w:jc w:val="center"/>
        </w:trPr>
        <w:tc>
          <w:tcPr>
            <w:tcW w:w="2952" w:type="dxa"/>
            <w:vMerge/>
            <w:vAlign w:val="center"/>
          </w:tcPr>
          <w:p w:rsidR="00E15A94" w:rsidRPr="00743164" w:rsidRDefault="00E15A94" w:rsidP="005D2FA9">
            <w:pP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Monthly financial reports</w:t>
            </w:r>
          </w:p>
        </w:tc>
      </w:tr>
      <w:tr w:rsidR="00E15A94" w:rsidRPr="00743164" w:rsidTr="005D2FA9">
        <w:trPr>
          <w:cantSplit/>
          <w:trHeight w:val="283"/>
          <w:jc w:val="center"/>
        </w:trPr>
        <w:tc>
          <w:tcPr>
            <w:tcW w:w="2952" w:type="dxa"/>
            <w:vMerge/>
            <w:vAlign w:val="center"/>
          </w:tcPr>
          <w:p w:rsidR="00E15A94" w:rsidRPr="00743164" w:rsidRDefault="00E15A94" w:rsidP="005D2FA9">
            <w:pP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Financial reports approved by senior management</w:t>
            </w:r>
          </w:p>
        </w:tc>
      </w:tr>
      <w:tr w:rsidR="00E15A94" w:rsidRPr="00743164" w:rsidTr="005D2FA9">
        <w:trPr>
          <w:cantSplit/>
          <w:trHeight w:val="283"/>
          <w:jc w:val="center"/>
        </w:trPr>
        <w:tc>
          <w:tcPr>
            <w:tcW w:w="2952" w:type="dxa"/>
            <w:vMerge/>
            <w:vAlign w:val="center"/>
          </w:tcPr>
          <w:p w:rsidR="00E15A94" w:rsidRPr="00743164" w:rsidRDefault="00E15A94" w:rsidP="005D2FA9">
            <w:pP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User ID and password to log</w:t>
            </w:r>
            <w:r>
              <w:rPr>
                <w:sz w:val="22"/>
                <w:szCs w:val="22"/>
                <w:lang w:val="en-AU"/>
              </w:rPr>
              <w:t xml:space="preserve"> </w:t>
            </w:r>
            <w:r w:rsidRPr="00743164">
              <w:rPr>
                <w:sz w:val="22"/>
                <w:szCs w:val="22"/>
                <w:lang w:val="en-AU"/>
              </w:rPr>
              <w:t>on to accounting system</w:t>
            </w:r>
          </w:p>
        </w:tc>
      </w:tr>
      <w:tr w:rsidR="00E15A94" w:rsidRPr="00743164" w:rsidTr="005D2FA9">
        <w:trPr>
          <w:cantSplit/>
          <w:trHeight w:val="283"/>
          <w:jc w:val="center"/>
        </w:trPr>
        <w:tc>
          <w:tcPr>
            <w:tcW w:w="2952" w:type="dxa"/>
            <w:vMerge/>
            <w:vAlign w:val="center"/>
          </w:tcPr>
          <w:p w:rsidR="00E15A94" w:rsidRPr="00743164" w:rsidRDefault="00E15A94" w:rsidP="005D2FA9">
            <w:pP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 xml:space="preserve">Backup system for financial records </w:t>
            </w:r>
          </w:p>
        </w:tc>
      </w:tr>
      <w:tr w:rsidR="00E15A94" w:rsidRPr="00743164" w:rsidTr="005D2FA9">
        <w:trPr>
          <w:cantSplit/>
          <w:trHeight w:val="283"/>
          <w:jc w:val="center"/>
        </w:trPr>
        <w:tc>
          <w:tcPr>
            <w:tcW w:w="2952" w:type="dxa"/>
            <w:vMerge w:val="restart"/>
          </w:tcPr>
          <w:p w:rsidR="00E15A94" w:rsidRPr="00743164" w:rsidRDefault="00E15A94" w:rsidP="005D2FA9">
            <w:pPr>
              <w:jc w:val="both"/>
              <w:rPr>
                <w:b/>
                <w:sz w:val="22"/>
                <w:szCs w:val="22"/>
              </w:rPr>
            </w:pPr>
            <w:r w:rsidRPr="00743164">
              <w:rPr>
                <w:b/>
                <w:sz w:val="22"/>
                <w:szCs w:val="22"/>
                <w:lang w:val="en-AU"/>
              </w:rPr>
              <w:t>Bank Account</w:t>
            </w:r>
            <w:r w:rsidRPr="00743164">
              <w:rPr>
                <w:b/>
                <w:sz w:val="22"/>
                <w:szCs w:val="22"/>
              </w:rPr>
              <w:t xml:space="preserve"> </w:t>
            </w: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 xml:space="preserve">Bank account under the name of the organisation </w:t>
            </w:r>
          </w:p>
        </w:tc>
      </w:tr>
      <w:tr w:rsidR="00E15A94" w:rsidRPr="00743164" w:rsidTr="005D2FA9">
        <w:trPr>
          <w:cantSplit/>
          <w:trHeight w:val="283"/>
          <w:jc w:val="center"/>
        </w:trPr>
        <w:tc>
          <w:tcPr>
            <w:tcW w:w="2952" w:type="dxa"/>
            <w:vMerge/>
            <w:vAlign w:val="center"/>
          </w:tcPr>
          <w:p w:rsidR="00E15A94" w:rsidRPr="00743164" w:rsidRDefault="00E15A94" w:rsidP="005D2FA9">
            <w:pP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Bank disbursement book to record bank/cheque payment transactions</w:t>
            </w:r>
          </w:p>
        </w:tc>
      </w:tr>
      <w:tr w:rsidR="00E15A94" w:rsidRPr="00743164" w:rsidTr="005D2FA9">
        <w:trPr>
          <w:cantSplit/>
          <w:trHeight w:val="283"/>
          <w:jc w:val="center"/>
        </w:trPr>
        <w:tc>
          <w:tcPr>
            <w:tcW w:w="2952" w:type="dxa"/>
            <w:vMerge/>
            <w:vAlign w:val="center"/>
          </w:tcPr>
          <w:p w:rsidR="00E15A94" w:rsidRPr="00743164" w:rsidRDefault="00E15A94" w:rsidP="005D2FA9">
            <w:pP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 xml:space="preserve">Monthly bank reconciliation  </w:t>
            </w:r>
          </w:p>
        </w:tc>
      </w:tr>
      <w:tr w:rsidR="00E15A94" w:rsidRPr="00743164" w:rsidTr="005D2FA9">
        <w:trPr>
          <w:cantSplit/>
          <w:trHeight w:val="283"/>
          <w:jc w:val="center"/>
        </w:trPr>
        <w:tc>
          <w:tcPr>
            <w:tcW w:w="2952" w:type="dxa"/>
            <w:vMerge/>
            <w:vAlign w:val="center"/>
          </w:tcPr>
          <w:p w:rsidR="00E15A94" w:rsidRPr="00743164" w:rsidRDefault="00E15A94" w:rsidP="005D2FA9">
            <w:pP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Payment voucher file of cheque payments including, supporting documents such</w:t>
            </w:r>
            <w:r>
              <w:rPr>
                <w:sz w:val="22"/>
                <w:szCs w:val="22"/>
                <w:lang w:val="en-AU"/>
              </w:rPr>
              <w:t xml:space="preserve"> as</w:t>
            </w:r>
            <w:r w:rsidRPr="00743164">
              <w:rPr>
                <w:sz w:val="22"/>
                <w:szCs w:val="22"/>
                <w:lang w:val="en-AU"/>
              </w:rPr>
              <w:t xml:space="preserve"> invoice receipts and other relevant information </w:t>
            </w:r>
          </w:p>
        </w:tc>
      </w:tr>
      <w:tr w:rsidR="00E15A94" w:rsidRPr="00743164" w:rsidTr="005D2FA9">
        <w:trPr>
          <w:cantSplit/>
          <w:trHeight w:val="283"/>
          <w:jc w:val="center"/>
        </w:trPr>
        <w:tc>
          <w:tcPr>
            <w:tcW w:w="2952" w:type="dxa"/>
            <w:vMerge w:val="restart"/>
          </w:tcPr>
          <w:p w:rsidR="00E15A94" w:rsidRPr="00743164" w:rsidRDefault="00E15A94" w:rsidP="005D2FA9">
            <w:pPr>
              <w:jc w:val="both"/>
              <w:rPr>
                <w:b/>
                <w:sz w:val="22"/>
                <w:szCs w:val="22"/>
                <w:lang w:val="en-AU"/>
              </w:rPr>
            </w:pPr>
            <w:r w:rsidRPr="00743164">
              <w:rPr>
                <w:b/>
                <w:sz w:val="22"/>
                <w:szCs w:val="22"/>
                <w:lang w:val="en-AU"/>
              </w:rPr>
              <w:t xml:space="preserve">Cash Management </w:t>
            </w: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Petty cash / cash float account</w:t>
            </w:r>
          </w:p>
        </w:tc>
      </w:tr>
      <w:tr w:rsidR="00E15A94" w:rsidRPr="00743164" w:rsidTr="005D2FA9">
        <w:trPr>
          <w:cantSplit/>
          <w:trHeight w:val="283"/>
          <w:jc w:val="center"/>
        </w:trPr>
        <w:tc>
          <w:tcPr>
            <w:tcW w:w="2952" w:type="dxa"/>
            <w:vMerge/>
          </w:tcPr>
          <w:p w:rsidR="00E15A94" w:rsidRPr="00743164" w:rsidRDefault="00E15A94" w:rsidP="005D2FA9">
            <w:pPr>
              <w:jc w:val="cente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Cash disbursement book to record cash transactions</w:t>
            </w:r>
          </w:p>
        </w:tc>
      </w:tr>
      <w:tr w:rsidR="00E15A94" w:rsidRPr="00743164" w:rsidTr="005D2FA9">
        <w:trPr>
          <w:cantSplit/>
          <w:trHeight w:val="283"/>
          <w:jc w:val="center"/>
        </w:trPr>
        <w:tc>
          <w:tcPr>
            <w:tcW w:w="2952" w:type="dxa"/>
            <w:vMerge/>
          </w:tcPr>
          <w:p w:rsidR="00E15A94" w:rsidRPr="00743164" w:rsidRDefault="00E15A94" w:rsidP="005D2FA9">
            <w:pPr>
              <w:jc w:val="cente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 xml:space="preserve">Pre-numbered receipt for cash / income received </w:t>
            </w:r>
          </w:p>
        </w:tc>
      </w:tr>
      <w:tr w:rsidR="00E15A94" w:rsidRPr="00743164" w:rsidTr="005D2FA9">
        <w:trPr>
          <w:cantSplit/>
          <w:trHeight w:val="283"/>
          <w:jc w:val="center"/>
        </w:trPr>
        <w:tc>
          <w:tcPr>
            <w:tcW w:w="2952" w:type="dxa"/>
            <w:vMerge/>
          </w:tcPr>
          <w:p w:rsidR="00E15A94" w:rsidRPr="00743164" w:rsidRDefault="00E15A94" w:rsidP="005D2FA9">
            <w:pPr>
              <w:jc w:val="cente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Cash count system, e.g. daily, weekly , or monthly</w:t>
            </w:r>
          </w:p>
        </w:tc>
      </w:tr>
      <w:tr w:rsidR="00E15A94" w:rsidRPr="00743164" w:rsidTr="005D2FA9">
        <w:trPr>
          <w:cantSplit/>
          <w:trHeight w:val="283"/>
          <w:jc w:val="center"/>
        </w:trPr>
        <w:tc>
          <w:tcPr>
            <w:tcW w:w="2952" w:type="dxa"/>
            <w:vMerge/>
          </w:tcPr>
          <w:p w:rsidR="00E15A94" w:rsidRPr="00743164" w:rsidRDefault="00E15A94" w:rsidP="005D2FA9">
            <w:pPr>
              <w:jc w:val="cente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Payment voucher file of cash payments including, supporting documents such invoice receipts and other relevant information</w:t>
            </w:r>
          </w:p>
        </w:tc>
      </w:tr>
      <w:tr w:rsidR="00E15A94" w:rsidRPr="00743164" w:rsidTr="005D2FA9">
        <w:trPr>
          <w:cantSplit/>
          <w:trHeight w:val="283"/>
          <w:jc w:val="center"/>
        </w:trPr>
        <w:tc>
          <w:tcPr>
            <w:tcW w:w="2952" w:type="dxa"/>
            <w:vMerge w:val="restart"/>
          </w:tcPr>
          <w:p w:rsidR="00E15A94" w:rsidRPr="00743164" w:rsidRDefault="00E15A94" w:rsidP="005D2FA9">
            <w:pPr>
              <w:jc w:val="both"/>
              <w:rPr>
                <w:b/>
                <w:sz w:val="22"/>
                <w:szCs w:val="22"/>
                <w:lang w:val="en-AU"/>
              </w:rPr>
            </w:pPr>
            <w:r w:rsidRPr="00743164">
              <w:rPr>
                <w:b/>
                <w:sz w:val="22"/>
                <w:szCs w:val="22"/>
                <w:lang w:val="en-AU"/>
              </w:rPr>
              <w:t xml:space="preserve">Procurement  </w:t>
            </w: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Purchase Request (PR) to request procurement of goods and services</w:t>
            </w:r>
          </w:p>
        </w:tc>
      </w:tr>
      <w:tr w:rsidR="00E15A94" w:rsidRPr="00743164" w:rsidTr="005D2FA9">
        <w:trPr>
          <w:cantSplit/>
          <w:trHeight w:val="283"/>
          <w:jc w:val="center"/>
        </w:trPr>
        <w:tc>
          <w:tcPr>
            <w:tcW w:w="2952" w:type="dxa"/>
            <w:vMerge/>
          </w:tcPr>
          <w:p w:rsidR="00E15A94" w:rsidRPr="00743164" w:rsidRDefault="00E15A94" w:rsidP="005D2FA9">
            <w:pP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Request for Quotation (</w:t>
            </w:r>
            <w:proofErr w:type="spellStart"/>
            <w:r w:rsidRPr="00743164">
              <w:rPr>
                <w:sz w:val="22"/>
                <w:szCs w:val="22"/>
                <w:lang w:val="en-AU"/>
              </w:rPr>
              <w:t>RfQ</w:t>
            </w:r>
            <w:proofErr w:type="spellEnd"/>
            <w:r w:rsidRPr="00743164">
              <w:rPr>
                <w:sz w:val="22"/>
                <w:szCs w:val="22"/>
                <w:lang w:val="en-AU"/>
              </w:rPr>
              <w:t>) to obtain price from suppliers</w:t>
            </w:r>
          </w:p>
        </w:tc>
      </w:tr>
      <w:tr w:rsidR="00E15A94" w:rsidRPr="00743164" w:rsidTr="005D2FA9">
        <w:trPr>
          <w:cantSplit/>
          <w:trHeight w:val="283"/>
          <w:jc w:val="center"/>
        </w:trPr>
        <w:tc>
          <w:tcPr>
            <w:tcW w:w="2952" w:type="dxa"/>
            <w:vMerge/>
          </w:tcPr>
          <w:p w:rsidR="00E15A94" w:rsidRPr="00743164" w:rsidRDefault="00E15A94" w:rsidP="005D2FA9">
            <w:pP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 xml:space="preserve">Competitive Bid Analysis based on </w:t>
            </w:r>
            <w:proofErr w:type="spellStart"/>
            <w:r w:rsidRPr="00743164">
              <w:rPr>
                <w:sz w:val="22"/>
                <w:szCs w:val="22"/>
                <w:lang w:val="en-AU"/>
              </w:rPr>
              <w:t>RfQ</w:t>
            </w:r>
            <w:proofErr w:type="spellEnd"/>
          </w:p>
        </w:tc>
      </w:tr>
      <w:tr w:rsidR="00E15A94" w:rsidRPr="00743164" w:rsidTr="005D2FA9">
        <w:trPr>
          <w:cantSplit/>
          <w:trHeight w:val="283"/>
          <w:jc w:val="center"/>
        </w:trPr>
        <w:tc>
          <w:tcPr>
            <w:tcW w:w="2952" w:type="dxa"/>
            <w:vMerge/>
          </w:tcPr>
          <w:p w:rsidR="00E15A94" w:rsidRPr="00743164" w:rsidRDefault="00E15A94" w:rsidP="005D2FA9">
            <w:pP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Purchase Order (PO) to procure goods and services</w:t>
            </w:r>
          </w:p>
        </w:tc>
      </w:tr>
      <w:tr w:rsidR="00E15A94" w:rsidRPr="00743164" w:rsidTr="005D2FA9">
        <w:trPr>
          <w:cantSplit/>
          <w:trHeight w:val="283"/>
          <w:jc w:val="center"/>
        </w:trPr>
        <w:tc>
          <w:tcPr>
            <w:tcW w:w="2952" w:type="dxa"/>
            <w:vMerge/>
          </w:tcPr>
          <w:p w:rsidR="00E15A94" w:rsidRPr="00743164" w:rsidRDefault="00E15A94" w:rsidP="005D2FA9">
            <w:pP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 xml:space="preserve">Procurement file including duly signed PR, </w:t>
            </w:r>
            <w:proofErr w:type="spellStart"/>
            <w:r w:rsidRPr="00743164">
              <w:rPr>
                <w:sz w:val="22"/>
                <w:szCs w:val="22"/>
                <w:lang w:val="en-AU"/>
              </w:rPr>
              <w:t>RfQ</w:t>
            </w:r>
            <w:proofErr w:type="spellEnd"/>
            <w:r w:rsidRPr="00743164">
              <w:rPr>
                <w:sz w:val="22"/>
                <w:szCs w:val="22"/>
                <w:lang w:val="en-AU"/>
              </w:rPr>
              <w:t xml:space="preserve">, CBA, PO and other relevant documentation  </w:t>
            </w:r>
          </w:p>
        </w:tc>
      </w:tr>
      <w:tr w:rsidR="00E15A94" w:rsidRPr="00743164" w:rsidTr="005D2FA9">
        <w:trPr>
          <w:cantSplit/>
          <w:trHeight w:val="283"/>
          <w:jc w:val="center"/>
        </w:trPr>
        <w:tc>
          <w:tcPr>
            <w:tcW w:w="2952" w:type="dxa"/>
            <w:vMerge w:val="restart"/>
          </w:tcPr>
          <w:p w:rsidR="00E15A94" w:rsidRPr="00743164" w:rsidRDefault="00E15A94" w:rsidP="005D2FA9">
            <w:pPr>
              <w:jc w:val="both"/>
              <w:rPr>
                <w:b/>
                <w:sz w:val="22"/>
                <w:szCs w:val="22"/>
                <w:lang w:val="en-AU"/>
              </w:rPr>
            </w:pPr>
            <w:r w:rsidRPr="00743164">
              <w:rPr>
                <w:b/>
                <w:sz w:val="22"/>
                <w:szCs w:val="22"/>
                <w:lang w:val="en-AU"/>
              </w:rPr>
              <w:t>Internal Control</w:t>
            </w: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 xml:space="preserve">Segregation of duties </w:t>
            </w:r>
          </w:p>
        </w:tc>
      </w:tr>
      <w:tr w:rsidR="00E15A94" w:rsidRPr="00743164" w:rsidTr="005D2FA9">
        <w:trPr>
          <w:cantSplit/>
          <w:trHeight w:val="283"/>
          <w:jc w:val="center"/>
        </w:trPr>
        <w:tc>
          <w:tcPr>
            <w:tcW w:w="2952" w:type="dxa"/>
            <w:vMerge/>
          </w:tcPr>
          <w:p w:rsidR="00E15A94" w:rsidRPr="00743164" w:rsidRDefault="00E15A94" w:rsidP="005D2FA9">
            <w:pPr>
              <w:spacing w:before="120"/>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 xml:space="preserve">Review of bank and cash reconciliation by senior management staff </w:t>
            </w:r>
          </w:p>
        </w:tc>
      </w:tr>
      <w:tr w:rsidR="00E15A94" w:rsidRPr="00743164" w:rsidTr="005D2FA9">
        <w:trPr>
          <w:cantSplit/>
          <w:trHeight w:val="283"/>
          <w:jc w:val="center"/>
        </w:trPr>
        <w:tc>
          <w:tcPr>
            <w:tcW w:w="2952" w:type="dxa"/>
            <w:vMerge/>
          </w:tcPr>
          <w:p w:rsidR="00E15A94" w:rsidRPr="00743164" w:rsidRDefault="00E15A94" w:rsidP="005D2FA9">
            <w:pP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Cash kept in a locked cash box or safe</w:t>
            </w:r>
          </w:p>
        </w:tc>
      </w:tr>
      <w:tr w:rsidR="00E15A94" w:rsidRPr="00743164" w:rsidTr="005D2FA9">
        <w:trPr>
          <w:cantSplit/>
          <w:trHeight w:val="283"/>
          <w:jc w:val="center"/>
        </w:trPr>
        <w:tc>
          <w:tcPr>
            <w:tcW w:w="2952" w:type="dxa"/>
            <w:vMerge/>
          </w:tcPr>
          <w:p w:rsidR="00E15A94" w:rsidRPr="00743164" w:rsidRDefault="00E15A94" w:rsidP="005D2FA9">
            <w:pP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Surprise cash count performed by senior staff</w:t>
            </w:r>
          </w:p>
        </w:tc>
      </w:tr>
      <w:tr w:rsidR="00E15A94" w:rsidRPr="00743164" w:rsidTr="005D2FA9">
        <w:trPr>
          <w:cantSplit/>
          <w:trHeight w:val="283"/>
          <w:jc w:val="center"/>
        </w:trPr>
        <w:tc>
          <w:tcPr>
            <w:tcW w:w="2952" w:type="dxa"/>
            <w:vMerge/>
          </w:tcPr>
          <w:p w:rsidR="00E15A94" w:rsidRPr="00743164" w:rsidRDefault="00E15A94" w:rsidP="005D2FA9">
            <w:pP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 xml:space="preserve">Bank account held in the organisation’s name with minimum two signatories  </w:t>
            </w:r>
          </w:p>
        </w:tc>
      </w:tr>
      <w:tr w:rsidR="00E15A94" w:rsidRPr="00743164" w:rsidTr="005D2FA9">
        <w:trPr>
          <w:cantSplit/>
          <w:trHeight w:val="283"/>
          <w:jc w:val="center"/>
        </w:trPr>
        <w:tc>
          <w:tcPr>
            <w:tcW w:w="2952" w:type="dxa"/>
            <w:vMerge/>
          </w:tcPr>
          <w:p w:rsidR="00E15A94" w:rsidRPr="00743164" w:rsidRDefault="00E15A94" w:rsidP="005D2FA9">
            <w:pP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Annual external audit is undertaken by recognised auditing firm</w:t>
            </w:r>
          </w:p>
        </w:tc>
      </w:tr>
      <w:tr w:rsidR="00E15A94" w:rsidRPr="00743164" w:rsidTr="005D2FA9">
        <w:trPr>
          <w:cantSplit/>
          <w:trHeight w:val="283"/>
          <w:jc w:val="center"/>
        </w:trPr>
        <w:tc>
          <w:tcPr>
            <w:tcW w:w="2952" w:type="dxa"/>
            <w:vMerge/>
          </w:tcPr>
          <w:p w:rsidR="00E15A94" w:rsidRPr="00743164" w:rsidRDefault="00E15A94" w:rsidP="005D2FA9">
            <w:pP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Compliance with tax and other local laws</w:t>
            </w:r>
          </w:p>
        </w:tc>
      </w:tr>
      <w:tr w:rsidR="00E15A94" w:rsidRPr="00743164" w:rsidTr="005D2FA9">
        <w:trPr>
          <w:cantSplit/>
          <w:trHeight w:val="283"/>
          <w:jc w:val="center"/>
        </w:trPr>
        <w:tc>
          <w:tcPr>
            <w:tcW w:w="2952" w:type="dxa"/>
            <w:vMerge/>
          </w:tcPr>
          <w:p w:rsidR="00E15A94" w:rsidRPr="00743164" w:rsidRDefault="00E15A94" w:rsidP="005D2FA9">
            <w:pP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Review of actual expenditures against budget</w:t>
            </w:r>
          </w:p>
        </w:tc>
      </w:tr>
      <w:tr w:rsidR="00E15A94" w:rsidRPr="00743164" w:rsidTr="005D2FA9">
        <w:trPr>
          <w:cantSplit/>
          <w:trHeight w:val="283"/>
          <w:jc w:val="center"/>
        </w:trPr>
        <w:tc>
          <w:tcPr>
            <w:tcW w:w="2952" w:type="dxa"/>
            <w:vMerge/>
          </w:tcPr>
          <w:p w:rsidR="00E15A94" w:rsidRPr="00743164" w:rsidRDefault="00E15A94" w:rsidP="005D2FA9">
            <w:pP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Payroll record</w:t>
            </w:r>
          </w:p>
        </w:tc>
      </w:tr>
      <w:tr w:rsidR="00E15A94" w:rsidRPr="00743164" w:rsidTr="005D2FA9">
        <w:trPr>
          <w:cantSplit/>
          <w:trHeight w:val="283"/>
          <w:jc w:val="center"/>
        </w:trPr>
        <w:tc>
          <w:tcPr>
            <w:tcW w:w="2952" w:type="dxa"/>
            <w:vMerge/>
          </w:tcPr>
          <w:p w:rsidR="00E15A94" w:rsidRPr="00743164" w:rsidRDefault="00E15A94" w:rsidP="005D2FA9">
            <w:pP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All payments (cheque and cash) approved according to Limits of Authority Delegation Schedule</w:t>
            </w:r>
          </w:p>
        </w:tc>
      </w:tr>
      <w:tr w:rsidR="00E15A94" w:rsidRPr="00743164" w:rsidTr="005D2FA9">
        <w:trPr>
          <w:cantSplit/>
          <w:trHeight w:val="283"/>
          <w:jc w:val="center"/>
        </w:trPr>
        <w:tc>
          <w:tcPr>
            <w:tcW w:w="2952" w:type="dxa"/>
            <w:vMerge/>
          </w:tcPr>
          <w:p w:rsidR="00E15A94" w:rsidRPr="00743164" w:rsidRDefault="00E15A94" w:rsidP="005D2FA9">
            <w:pP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Review of all payments’ supporting documentation</w:t>
            </w:r>
          </w:p>
        </w:tc>
      </w:tr>
      <w:tr w:rsidR="00E15A94" w:rsidRPr="00743164" w:rsidTr="005D2FA9">
        <w:trPr>
          <w:cantSplit/>
          <w:trHeight w:val="283"/>
          <w:jc w:val="center"/>
        </w:trPr>
        <w:tc>
          <w:tcPr>
            <w:tcW w:w="2952" w:type="dxa"/>
            <w:vMerge/>
          </w:tcPr>
          <w:p w:rsidR="00E15A94" w:rsidRPr="00743164" w:rsidRDefault="00E15A94" w:rsidP="005D2FA9">
            <w:pP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 xml:space="preserve">Fixed Asset register </w:t>
            </w:r>
          </w:p>
        </w:tc>
      </w:tr>
      <w:tr w:rsidR="00E15A94" w:rsidRPr="00743164" w:rsidTr="005D2FA9">
        <w:trPr>
          <w:cantSplit/>
          <w:trHeight w:val="283"/>
          <w:jc w:val="center"/>
        </w:trPr>
        <w:tc>
          <w:tcPr>
            <w:tcW w:w="2952" w:type="dxa"/>
            <w:vMerge w:val="restart"/>
          </w:tcPr>
          <w:p w:rsidR="00E15A94" w:rsidRPr="00743164" w:rsidRDefault="00E15A94" w:rsidP="005D2FA9">
            <w:pPr>
              <w:jc w:val="both"/>
              <w:rPr>
                <w:b/>
                <w:sz w:val="22"/>
                <w:szCs w:val="22"/>
                <w:lang w:val="en-AU"/>
              </w:rPr>
            </w:pPr>
            <w:r w:rsidRPr="00743164">
              <w:rPr>
                <w:b/>
                <w:sz w:val="22"/>
                <w:szCs w:val="22"/>
                <w:lang w:val="en-AU"/>
              </w:rPr>
              <w:t>Shared Program Cost Guidelines</w:t>
            </w:r>
          </w:p>
          <w:p w:rsidR="00E15A94" w:rsidRPr="00743164" w:rsidRDefault="00E15A94" w:rsidP="005D2FA9">
            <w:pPr>
              <w:jc w:val="both"/>
              <w:rPr>
                <w:b/>
                <w:sz w:val="22"/>
                <w:szCs w:val="22"/>
                <w:lang w:val="en-AU"/>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If implementing grants from other donor</w:t>
            </w:r>
            <w:r>
              <w:rPr>
                <w:sz w:val="22"/>
                <w:szCs w:val="22"/>
                <w:lang w:val="en-AU"/>
              </w:rPr>
              <w:t>s</w:t>
            </w:r>
            <w:r w:rsidRPr="00743164">
              <w:rPr>
                <w:sz w:val="22"/>
                <w:szCs w:val="22"/>
                <w:lang w:val="en-AU"/>
              </w:rPr>
              <w:t>, INGO</w:t>
            </w:r>
            <w:r>
              <w:rPr>
                <w:sz w:val="22"/>
                <w:szCs w:val="22"/>
                <w:lang w:val="en-AU"/>
              </w:rPr>
              <w:t>s</w:t>
            </w:r>
            <w:r w:rsidRPr="00743164">
              <w:rPr>
                <w:sz w:val="22"/>
                <w:szCs w:val="22"/>
                <w:lang w:val="en-AU"/>
              </w:rPr>
              <w:t>, UN - guidelines on SPC allocation</w:t>
            </w:r>
          </w:p>
        </w:tc>
      </w:tr>
      <w:tr w:rsidR="00E15A94" w:rsidRPr="00743164" w:rsidTr="005D2FA9">
        <w:trPr>
          <w:cantSplit/>
          <w:trHeight w:val="283"/>
          <w:jc w:val="center"/>
        </w:trPr>
        <w:tc>
          <w:tcPr>
            <w:tcW w:w="2952" w:type="dxa"/>
            <w:vMerge/>
          </w:tcPr>
          <w:p w:rsidR="00E15A94" w:rsidRPr="00743164" w:rsidRDefault="00E15A94" w:rsidP="005D2FA9">
            <w:pPr>
              <w:rPr>
                <w:b/>
                <w:sz w:val="22"/>
                <w:szCs w:val="22"/>
              </w:rPr>
            </w:pPr>
          </w:p>
        </w:tc>
        <w:tc>
          <w:tcPr>
            <w:tcW w:w="5783" w:type="dxa"/>
            <w:vAlign w:val="bottom"/>
          </w:tcPr>
          <w:p w:rsidR="00E15A94" w:rsidRPr="00743164" w:rsidRDefault="00E15A94" w:rsidP="00E15A94">
            <w:pPr>
              <w:numPr>
                <w:ilvl w:val="0"/>
                <w:numId w:val="2"/>
              </w:numPr>
              <w:ind w:left="580"/>
              <w:rPr>
                <w:sz w:val="22"/>
                <w:szCs w:val="22"/>
                <w:lang w:val="en-AU"/>
              </w:rPr>
            </w:pPr>
            <w:r w:rsidRPr="00743164">
              <w:rPr>
                <w:sz w:val="22"/>
                <w:szCs w:val="22"/>
                <w:lang w:val="en-AU"/>
              </w:rPr>
              <w:t>If project staff time is spent on multiple projects, guidelines on personnel costs shared between projects</w:t>
            </w:r>
          </w:p>
        </w:tc>
      </w:tr>
    </w:tbl>
    <w:p w:rsidR="00E15A94" w:rsidRDefault="00E15A94" w:rsidP="00E15A94">
      <w:pPr>
        <w:spacing w:before="120"/>
        <w:jc w:val="both"/>
        <w:rPr>
          <w:sz w:val="22"/>
          <w:szCs w:val="22"/>
        </w:rPr>
      </w:pPr>
    </w:p>
    <w:p w:rsidR="00E15A94" w:rsidRPr="00743164" w:rsidRDefault="00E15A94" w:rsidP="00E15A94">
      <w:pPr>
        <w:spacing w:before="120"/>
        <w:jc w:val="both"/>
        <w:rPr>
          <w:sz w:val="22"/>
          <w:szCs w:val="22"/>
        </w:rPr>
      </w:pPr>
      <w:r w:rsidRPr="00743164">
        <w:rPr>
          <w:sz w:val="22"/>
          <w:szCs w:val="22"/>
        </w:rPr>
        <w:t>For t</w:t>
      </w:r>
      <w:r>
        <w:rPr>
          <w:sz w:val="22"/>
          <w:szCs w:val="22"/>
        </w:rPr>
        <w:t xml:space="preserve">he purpose of this Action, CARE, API and </w:t>
      </w:r>
      <w:proofErr w:type="spellStart"/>
      <w:r>
        <w:rPr>
          <w:sz w:val="22"/>
          <w:szCs w:val="22"/>
        </w:rPr>
        <w:t>InSTEDD</w:t>
      </w:r>
      <w:proofErr w:type="spellEnd"/>
      <w:r>
        <w:rPr>
          <w:sz w:val="22"/>
          <w:szCs w:val="22"/>
        </w:rPr>
        <w:t xml:space="preserve"> will specifically focus on the following assessment criteria for selecting eligible entities/persons to receive grants under the Action: </w:t>
      </w:r>
    </w:p>
    <w:p w:rsidR="00E15A94" w:rsidRDefault="00E15A94" w:rsidP="00E15A94">
      <w:pPr>
        <w:pStyle w:val="ListParagraph"/>
        <w:numPr>
          <w:ilvl w:val="0"/>
          <w:numId w:val="1"/>
        </w:numPr>
        <w:tabs>
          <w:tab w:val="left" w:pos="426"/>
        </w:tabs>
        <w:spacing w:before="120"/>
        <w:jc w:val="both"/>
        <w:rPr>
          <w:sz w:val="22"/>
          <w:szCs w:val="22"/>
        </w:rPr>
      </w:pPr>
      <w:r w:rsidRPr="00743164">
        <w:rPr>
          <w:sz w:val="22"/>
          <w:szCs w:val="22"/>
        </w:rPr>
        <w:t>The entity will need to provide evidence of sufficient accountability and transparency, including</w:t>
      </w:r>
      <w:r>
        <w:rPr>
          <w:sz w:val="22"/>
          <w:szCs w:val="22"/>
        </w:rPr>
        <w:t xml:space="preserve"> </w:t>
      </w:r>
      <w:r w:rsidRPr="00743164">
        <w:rPr>
          <w:sz w:val="22"/>
          <w:szCs w:val="22"/>
        </w:rPr>
        <w:t>“downward accountability”, which will be vetted through testing:</w:t>
      </w:r>
    </w:p>
    <w:p w:rsidR="00E15A94" w:rsidRDefault="00E15A94" w:rsidP="00E15A94">
      <w:pPr>
        <w:pStyle w:val="ListParagraph"/>
        <w:numPr>
          <w:ilvl w:val="1"/>
          <w:numId w:val="1"/>
        </w:numPr>
        <w:tabs>
          <w:tab w:val="left" w:pos="426"/>
        </w:tabs>
        <w:spacing w:before="120"/>
        <w:jc w:val="both"/>
        <w:rPr>
          <w:sz w:val="22"/>
          <w:szCs w:val="22"/>
        </w:rPr>
      </w:pPr>
      <w:r w:rsidRPr="00743164">
        <w:rPr>
          <w:sz w:val="22"/>
          <w:szCs w:val="22"/>
        </w:rPr>
        <w:t xml:space="preserve">ability for outreach: review of sufficient and regular contact with constituents </w:t>
      </w:r>
    </w:p>
    <w:p w:rsidR="00E15A94" w:rsidRDefault="00E15A94" w:rsidP="00E15A94">
      <w:pPr>
        <w:pStyle w:val="ListParagraph"/>
        <w:numPr>
          <w:ilvl w:val="1"/>
          <w:numId w:val="1"/>
        </w:numPr>
        <w:tabs>
          <w:tab w:val="left" w:pos="426"/>
        </w:tabs>
        <w:spacing w:before="120"/>
        <w:jc w:val="both"/>
        <w:rPr>
          <w:sz w:val="22"/>
          <w:szCs w:val="22"/>
        </w:rPr>
      </w:pPr>
      <w:r w:rsidRPr="00743164">
        <w:rPr>
          <w:sz w:val="22"/>
          <w:szCs w:val="22"/>
        </w:rPr>
        <w:t>ability to deliver: sufficient and satisfactory delivery of results from previous projects/program</w:t>
      </w:r>
      <w:r>
        <w:rPr>
          <w:sz w:val="22"/>
          <w:szCs w:val="22"/>
        </w:rPr>
        <w:t>me</w:t>
      </w:r>
      <w:r w:rsidRPr="00743164">
        <w:rPr>
          <w:sz w:val="22"/>
          <w:szCs w:val="22"/>
        </w:rPr>
        <w:t xml:space="preserve">s </w:t>
      </w:r>
    </w:p>
    <w:p w:rsidR="00E15A94" w:rsidRDefault="00E15A94" w:rsidP="00E15A94">
      <w:pPr>
        <w:pStyle w:val="ListParagraph"/>
        <w:numPr>
          <w:ilvl w:val="1"/>
          <w:numId w:val="1"/>
        </w:numPr>
        <w:tabs>
          <w:tab w:val="left" w:pos="426"/>
        </w:tabs>
        <w:spacing w:before="120"/>
        <w:jc w:val="both"/>
        <w:rPr>
          <w:sz w:val="22"/>
          <w:szCs w:val="22"/>
        </w:rPr>
      </w:pPr>
      <w:r w:rsidRPr="00743164">
        <w:rPr>
          <w:sz w:val="22"/>
          <w:szCs w:val="22"/>
        </w:rPr>
        <w:t xml:space="preserve">ability to </w:t>
      </w:r>
      <w:r w:rsidRPr="00994DF3">
        <w:rPr>
          <w:sz w:val="22"/>
          <w:szCs w:val="22"/>
          <w:u w:val="single"/>
        </w:rPr>
        <w:t>plan</w:t>
      </w:r>
      <w:r w:rsidRPr="00743164">
        <w:rPr>
          <w:sz w:val="22"/>
          <w:szCs w:val="22"/>
        </w:rPr>
        <w:t xml:space="preserve">: review of Annual </w:t>
      </w:r>
      <w:proofErr w:type="spellStart"/>
      <w:r w:rsidRPr="00743164">
        <w:rPr>
          <w:sz w:val="22"/>
          <w:szCs w:val="22"/>
        </w:rPr>
        <w:t>Workplans</w:t>
      </w:r>
      <w:proofErr w:type="spellEnd"/>
      <w:r w:rsidRPr="00743164">
        <w:rPr>
          <w:sz w:val="22"/>
          <w:szCs w:val="22"/>
        </w:rPr>
        <w:t xml:space="preserve"> </w:t>
      </w:r>
    </w:p>
    <w:p w:rsidR="00E15A94" w:rsidRDefault="00E15A94" w:rsidP="00E15A94">
      <w:pPr>
        <w:pStyle w:val="ListParagraph"/>
        <w:numPr>
          <w:ilvl w:val="1"/>
          <w:numId w:val="1"/>
        </w:numPr>
        <w:tabs>
          <w:tab w:val="left" w:pos="426"/>
        </w:tabs>
        <w:spacing w:before="120"/>
        <w:jc w:val="both"/>
        <w:rPr>
          <w:sz w:val="22"/>
          <w:szCs w:val="22"/>
        </w:rPr>
      </w:pPr>
      <w:r w:rsidRPr="00743164">
        <w:rPr>
          <w:sz w:val="22"/>
          <w:szCs w:val="22"/>
        </w:rPr>
        <w:t xml:space="preserve">ability to </w:t>
      </w:r>
      <w:r w:rsidRPr="00994DF3">
        <w:rPr>
          <w:sz w:val="22"/>
          <w:szCs w:val="22"/>
          <w:u w:val="single"/>
        </w:rPr>
        <w:t>report</w:t>
      </w:r>
      <w:r w:rsidRPr="00743164">
        <w:rPr>
          <w:sz w:val="22"/>
          <w:szCs w:val="22"/>
        </w:rPr>
        <w:t xml:space="preserve">: review of </w:t>
      </w:r>
      <w:r>
        <w:rPr>
          <w:sz w:val="22"/>
          <w:szCs w:val="22"/>
        </w:rPr>
        <w:t>a</w:t>
      </w:r>
      <w:r w:rsidRPr="00743164">
        <w:rPr>
          <w:sz w:val="22"/>
          <w:szCs w:val="22"/>
        </w:rPr>
        <w:t xml:space="preserve">nnual and financial reports </w:t>
      </w:r>
    </w:p>
    <w:p w:rsidR="00E15A94" w:rsidRDefault="00E15A94" w:rsidP="00E15A94">
      <w:pPr>
        <w:pStyle w:val="ListParagraph"/>
        <w:numPr>
          <w:ilvl w:val="1"/>
          <w:numId w:val="1"/>
        </w:numPr>
        <w:tabs>
          <w:tab w:val="left" w:pos="426"/>
        </w:tabs>
        <w:spacing w:before="120"/>
        <w:jc w:val="both"/>
        <w:rPr>
          <w:sz w:val="22"/>
          <w:szCs w:val="22"/>
        </w:rPr>
      </w:pPr>
      <w:r w:rsidRPr="00743164">
        <w:rPr>
          <w:sz w:val="22"/>
          <w:szCs w:val="22"/>
        </w:rPr>
        <w:t xml:space="preserve">ability to conduct </w:t>
      </w:r>
      <w:r w:rsidRPr="00994DF3">
        <w:rPr>
          <w:sz w:val="22"/>
          <w:szCs w:val="22"/>
          <w:u w:val="single"/>
        </w:rPr>
        <w:t>monitoring and evaluation</w:t>
      </w:r>
      <w:r w:rsidRPr="00743164">
        <w:rPr>
          <w:sz w:val="22"/>
          <w:szCs w:val="22"/>
        </w:rPr>
        <w:t>: review of monitoring and/or evaluation reports</w:t>
      </w:r>
    </w:p>
    <w:p w:rsidR="00E15A94" w:rsidRDefault="00E15A94" w:rsidP="00E15A94">
      <w:pPr>
        <w:pStyle w:val="ListParagraph"/>
        <w:numPr>
          <w:ilvl w:val="1"/>
          <w:numId w:val="1"/>
        </w:numPr>
        <w:tabs>
          <w:tab w:val="left" w:pos="426"/>
        </w:tabs>
        <w:spacing w:before="120"/>
        <w:jc w:val="both"/>
        <w:rPr>
          <w:sz w:val="22"/>
          <w:szCs w:val="22"/>
        </w:rPr>
      </w:pPr>
      <w:r w:rsidRPr="00743164">
        <w:rPr>
          <w:sz w:val="22"/>
          <w:szCs w:val="22"/>
        </w:rPr>
        <w:t xml:space="preserve">ability to </w:t>
      </w:r>
      <w:r w:rsidRPr="00994DF3">
        <w:rPr>
          <w:sz w:val="22"/>
          <w:szCs w:val="22"/>
          <w:u w:val="single"/>
        </w:rPr>
        <w:t>deliver</w:t>
      </w:r>
      <w:r w:rsidRPr="00743164">
        <w:rPr>
          <w:sz w:val="22"/>
          <w:szCs w:val="22"/>
        </w:rPr>
        <w:t>: review financial reports</w:t>
      </w:r>
    </w:p>
    <w:p w:rsidR="00E15A94" w:rsidRPr="00743164" w:rsidRDefault="00E15A94" w:rsidP="00E15A94">
      <w:pPr>
        <w:pStyle w:val="ListParagraph"/>
        <w:numPr>
          <w:ilvl w:val="1"/>
          <w:numId w:val="1"/>
        </w:numPr>
        <w:tabs>
          <w:tab w:val="left" w:pos="426"/>
        </w:tabs>
        <w:spacing w:before="120"/>
        <w:jc w:val="both"/>
        <w:rPr>
          <w:sz w:val="22"/>
          <w:szCs w:val="22"/>
        </w:rPr>
      </w:pPr>
      <w:r w:rsidRPr="00743164">
        <w:rPr>
          <w:sz w:val="22"/>
          <w:szCs w:val="22"/>
        </w:rPr>
        <w:t xml:space="preserve">ability to </w:t>
      </w:r>
      <w:r w:rsidRPr="00994DF3">
        <w:rPr>
          <w:sz w:val="22"/>
          <w:szCs w:val="22"/>
          <w:u w:val="single"/>
        </w:rPr>
        <w:t>manage</w:t>
      </w:r>
      <w:r w:rsidRPr="00743164">
        <w:rPr>
          <w:sz w:val="22"/>
          <w:szCs w:val="22"/>
        </w:rPr>
        <w:t xml:space="preserve">: review audit reports </w:t>
      </w:r>
    </w:p>
    <w:p w:rsidR="00E15A94" w:rsidRPr="00743164" w:rsidRDefault="00E15A94" w:rsidP="00E15A94">
      <w:pPr>
        <w:pStyle w:val="ListParagraph"/>
        <w:numPr>
          <w:ilvl w:val="0"/>
          <w:numId w:val="1"/>
        </w:numPr>
        <w:tabs>
          <w:tab w:val="left" w:pos="426"/>
        </w:tabs>
        <w:spacing w:before="120"/>
        <w:jc w:val="both"/>
        <w:rPr>
          <w:sz w:val="22"/>
          <w:szCs w:val="22"/>
        </w:rPr>
      </w:pPr>
      <w:r w:rsidRPr="00743164">
        <w:rPr>
          <w:sz w:val="22"/>
          <w:szCs w:val="22"/>
        </w:rPr>
        <w:t xml:space="preserve">The entity will need to provide sufficient evidence that it addresses or mainstreams </w:t>
      </w:r>
      <w:r w:rsidRPr="00994DF3">
        <w:rPr>
          <w:sz w:val="22"/>
          <w:szCs w:val="22"/>
          <w:u w:val="single"/>
        </w:rPr>
        <w:t xml:space="preserve">ethnic minority issues </w:t>
      </w:r>
      <w:r w:rsidRPr="00743164">
        <w:rPr>
          <w:sz w:val="22"/>
          <w:szCs w:val="22"/>
        </w:rPr>
        <w:t>in its programming and program</w:t>
      </w:r>
      <w:r>
        <w:rPr>
          <w:sz w:val="22"/>
          <w:szCs w:val="22"/>
        </w:rPr>
        <w:t>me</w:t>
      </w:r>
      <w:r w:rsidRPr="00743164">
        <w:rPr>
          <w:sz w:val="22"/>
          <w:szCs w:val="22"/>
        </w:rPr>
        <w:t xml:space="preserve"> delivery</w:t>
      </w:r>
    </w:p>
    <w:p w:rsidR="00E15A94" w:rsidRPr="00743164" w:rsidRDefault="00E15A94" w:rsidP="00E15A94">
      <w:pPr>
        <w:pStyle w:val="ListParagraph"/>
        <w:numPr>
          <w:ilvl w:val="0"/>
          <w:numId w:val="1"/>
        </w:numPr>
        <w:tabs>
          <w:tab w:val="left" w:pos="426"/>
        </w:tabs>
        <w:spacing w:before="120"/>
        <w:jc w:val="both"/>
        <w:rPr>
          <w:sz w:val="22"/>
          <w:szCs w:val="22"/>
        </w:rPr>
      </w:pPr>
      <w:r w:rsidRPr="00743164">
        <w:rPr>
          <w:sz w:val="22"/>
          <w:szCs w:val="22"/>
        </w:rPr>
        <w:t xml:space="preserve">The entity will need to provide sufficient evidence that it addresses </w:t>
      </w:r>
      <w:r w:rsidRPr="00994DF3">
        <w:rPr>
          <w:sz w:val="22"/>
          <w:szCs w:val="22"/>
          <w:u w:val="single"/>
        </w:rPr>
        <w:t>gender equity and gender mainstreaming</w:t>
      </w:r>
      <w:r w:rsidRPr="00743164">
        <w:rPr>
          <w:sz w:val="22"/>
          <w:szCs w:val="22"/>
        </w:rPr>
        <w:t xml:space="preserve"> in its programming and program</w:t>
      </w:r>
      <w:r>
        <w:rPr>
          <w:sz w:val="22"/>
          <w:szCs w:val="22"/>
        </w:rPr>
        <w:t>me</w:t>
      </w:r>
      <w:r w:rsidRPr="00743164">
        <w:rPr>
          <w:sz w:val="22"/>
          <w:szCs w:val="22"/>
        </w:rPr>
        <w:t xml:space="preserve"> delivery</w:t>
      </w:r>
    </w:p>
    <w:p w:rsidR="00E15A94" w:rsidRDefault="00E15A94" w:rsidP="00E15A94">
      <w:pPr>
        <w:pStyle w:val="ListParagraph"/>
        <w:numPr>
          <w:ilvl w:val="0"/>
          <w:numId w:val="1"/>
        </w:numPr>
        <w:tabs>
          <w:tab w:val="left" w:pos="426"/>
        </w:tabs>
        <w:spacing w:before="120"/>
        <w:jc w:val="both"/>
        <w:rPr>
          <w:sz w:val="22"/>
          <w:szCs w:val="22"/>
        </w:rPr>
      </w:pPr>
      <w:r w:rsidRPr="00994DF3">
        <w:rPr>
          <w:sz w:val="22"/>
          <w:szCs w:val="22"/>
        </w:rPr>
        <w:t xml:space="preserve">The entity will need to provide sufficient evidence that it addresses </w:t>
      </w:r>
      <w:r w:rsidRPr="00994DF3">
        <w:rPr>
          <w:sz w:val="22"/>
          <w:szCs w:val="22"/>
          <w:u w:val="single"/>
        </w:rPr>
        <w:t>youth issues and youth issues mainstreaming</w:t>
      </w:r>
      <w:r w:rsidRPr="00994DF3">
        <w:rPr>
          <w:sz w:val="22"/>
          <w:szCs w:val="22"/>
        </w:rPr>
        <w:t xml:space="preserve"> in its programming and program</w:t>
      </w:r>
      <w:r>
        <w:rPr>
          <w:sz w:val="22"/>
          <w:szCs w:val="22"/>
        </w:rPr>
        <w:t>me</w:t>
      </w:r>
      <w:r w:rsidRPr="00994DF3">
        <w:rPr>
          <w:sz w:val="22"/>
          <w:szCs w:val="22"/>
        </w:rPr>
        <w:t xml:space="preserve"> delivery </w:t>
      </w:r>
    </w:p>
    <w:p w:rsidR="00E15A94" w:rsidRPr="00743164" w:rsidRDefault="00E15A94" w:rsidP="00E15A94">
      <w:pPr>
        <w:tabs>
          <w:tab w:val="left" w:pos="426"/>
        </w:tabs>
        <w:spacing w:before="120"/>
        <w:jc w:val="both"/>
        <w:rPr>
          <w:sz w:val="22"/>
          <w:szCs w:val="22"/>
        </w:rPr>
      </w:pPr>
      <w:r w:rsidRPr="00743164">
        <w:rPr>
          <w:sz w:val="22"/>
          <w:szCs w:val="22"/>
        </w:rPr>
        <w:t xml:space="preserve">Entities will be scored on these individual abilities, and a minimum threshold score will be set to determine </w:t>
      </w:r>
      <w:proofErr w:type="gramStart"/>
      <w:r w:rsidRPr="00743164">
        <w:rPr>
          <w:sz w:val="22"/>
          <w:szCs w:val="22"/>
        </w:rPr>
        <w:t>whether or not</w:t>
      </w:r>
      <w:proofErr w:type="gramEnd"/>
      <w:r w:rsidRPr="00743164">
        <w:rPr>
          <w:sz w:val="22"/>
          <w:szCs w:val="22"/>
        </w:rPr>
        <w:t xml:space="preserve"> the entity is considered “qualified” or “unqualified”. </w:t>
      </w:r>
      <w:proofErr w:type="gramStart"/>
      <w:r w:rsidRPr="00743164">
        <w:rPr>
          <w:sz w:val="22"/>
          <w:szCs w:val="22"/>
        </w:rPr>
        <w:t>Entities which</w:t>
      </w:r>
      <w:proofErr w:type="gramEnd"/>
      <w:r w:rsidRPr="00743164">
        <w:rPr>
          <w:sz w:val="22"/>
          <w:szCs w:val="22"/>
        </w:rPr>
        <w:t xml:space="preserve"> have a low score on any of the above criteria/capacities, yet have reached a sufficient overall score to be considered ‘qualified”, will be supported with specific capacity</w:t>
      </w:r>
      <w:r>
        <w:rPr>
          <w:sz w:val="22"/>
          <w:szCs w:val="22"/>
        </w:rPr>
        <w:t>-</w:t>
      </w:r>
      <w:r w:rsidRPr="00743164">
        <w:rPr>
          <w:sz w:val="22"/>
          <w:szCs w:val="22"/>
        </w:rPr>
        <w:t>building from CARE to address t</w:t>
      </w:r>
      <w:r>
        <w:rPr>
          <w:sz w:val="22"/>
          <w:szCs w:val="22"/>
        </w:rPr>
        <w:t>he capacities with a low score.</w:t>
      </w:r>
    </w:p>
    <w:p w:rsidR="00E15A94" w:rsidRDefault="00E15A94" w:rsidP="00E15A94">
      <w:pPr>
        <w:tabs>
          <w:tab w:val="left" w:pos="426"/>
        </w:tabs>
        <w:spacing w:before="120"/>
        <w:jc w:val="both"/>
        <w:rPr>
          <w:sz w:val="22"/>
          <w:szCs w:val="22"/>
          <w:u w:val="single"/>
        </w:rPr>
      </w:pPr>
      <w:r w:rsidRPr="00994DF3">
        <w:rPr>
          <w:sz w:val="22"/>
          <w:szCs w:val="22"/>
          <w:u w:val="single"/>
        </w:rPr>
        <w:t>Criteria that determine the exact amount of financial support to third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8286"/>
      </w:tblGrid>
      <w:tr w:rsidR="00E15A94" w:rsidRPr="00AF7BBD" w:rsidTr="005D2FA9">
        <w:trPr>
          <w:trHeight w:val="340"/>
        </w:trPr>
        <w:tc>
          <w:tcPr>
            <w:tcW w:w="0" w:type="auto"/>
            <w:vAlign w:val="center"/>
          </w:tcPr>
          <w:p w:rsidR="00E15A94" w:rsidRPr="00AF7BBD" w:rsidRDefault="00E15A94" w:rsidP="005D2FA9">
            <w:pPr>
              <w:widowControl w:val="0"/>
              <w:suppressAutoHyphens/>
              <w:spacing w:before="120" w:after="120"/>
              <w:jc w:val="center"/>
              <w:rPr>
                <w:b/>
                <w:snapToGrid w:val="0"/>
                <w:kern w:val="28"/>
                <w:sz w:val="22"/>
                <w:szCs w:val="22"/>
              </w:rPr>
            </w:pPr>
            <w:r w:rsidRPr="00AF7BBD">
              <w:rPr>
                <w:b/>
                <w:snapToGrid w:val="0"/>
                <w:kern w:val="28"/>
                <w:sz w:val="22"/>
                <w:szCs w:val="22"/>
              </w:rPr>
              <w:t>⃰Level</w:t>
            </w:r>
          </w:p>
        </w:tc>
        <w:tc>
          <w:tcPr>
            <w:tcW w:w="0" w:type="auto"/>
            <w:vAlign w:val="center"/>
          </w:tcPr>
          <w:p w:rsidR="00E15A94" w:rsidRPr="00AF7BBD" w:rsidRDefault="00E15A94" w:rsidP="005D2FA9">
            <w:pPr>
              <w:widowControl w:val="0"/>
              <w:suppressAutoHyphens/>
              <w:spacing w:before="120" w:after="120"/>
              <w:jc w:val="center"/>
              <w:rPr>
                <w:b/>
                <w:snapToGrid w:val="0"/>
                <w:kern w:val="28"/>
                <w:sz w:val="22"/>
                <w:szCs w:val="22"/>
              </w:rPr>
            </w:pPr>
            <w:r w:rsidRPr="00AF7BBD">
              <w:rPr>
                <w:b/>
                <w:snapToGrid w:val="0"/>
                <w:kern w:val="28"/>
                <w:sz w:val="22"/>
                <w:szCs w:val="22"/>
              </w:rPr>
              <w:t>*Partner’s Category</w:t>
            </w:r>
          </w:p>
        </w:tc>
      </w:tr>
      <w:tr w:rsidR="00E15A94" w:rsidRPr="00AF7BBD" w:rsidTr="005D2FA9">
        <w:trPr>
          <w:trHeight w:val="277"/>
        </w:trPr>
        <w:tc>
          <w:tcPr>
            <w:tcW w:w="0" w:type="auto"/>
            <w:vAlign w:val="center"/>
          </w:tcPr>
          <w:p w:rsidR="00E15A94" w:rsidRPr="00AF7BBD" w:rsidRDefault="00E15A94" w:rsidP="005D2FA9">
            <w:pPr>
              <w:pStyle w:val="BodyText2"/>
              <w:widowControl w:val="0"/>
              <w:suppressAutoHyphens/>
              <w:spacing w:before="120" w:line="240" w:lineRule="auto"/>
              <w:jc w:val="center"/>
              <w:rPr>
                <w:b/>
                <w:snapToGrid w:val="0"/>
                <w:kern w:val="28"/>
                <w:sz w:val="22"/>
                <w:szCs w:val="22"/>
                <w:lang w:eastAsia="en-US"/>
              </w:rPr>
            </w:pPr>
            <w:r w:rsidRPr="00AF7BBD">
              <w:rPr>
                <w:b/>
                <w:snapToGrid w:val="0"/>
                <w:kern w:val="28"/>
                <w:sz w:val="22"/>
                <w:szCs w:val="22"/>
                <w:lang w:eastAsia="en-US"/>
              </w:rPr>
              <w:t>1</w:t>
            </w:r>
          </w:p>
        </w:tc>
        <w:tc>
          <w:tcPr>
            <w:tcW w:w="0" w:type="auto"/>
          </w:tcPr>
          <w:p w:rsidR="00E15A94" w:rsidRPr="00AF7BBD" w:rsidRDefault="00E15A94" w:rsidP="005D2FA9">
            <w:pPr>
              <w:pStyle w:val="BodyText2"/>
              <w:widowControl w:val="0"/>
              <w:tabs>
                <w:tab w:val="left" w:pos="145"/>
              </w:tabs>
              <w:suppressAutoHyphens/>
              <w:spacing w:before="240" w:line="240" w:lineRule="auto"/>
              <w:ind w:left="235"/>
              <w:outlineLvl w:val="7"/>
              <w:rPr>
                <w:i/>
                <w:iCs/>
                <w:snapToGrid w:val="0"/>
                <w:kern w:val="28"/>
                <w:sz w:val="22"/>
                <w:szCs w:val="22"/>
                <w:lang w:eastAsia="en-US"/>
              </w:rPr>
            </w:pPr>
            <w:r w:rsidRPr="00AF7BBD">
              <w:rPr>
                <w:b/>
                <w:snapToGrid w:val="0"/>
                <w:kern w:val="28"/>
                <w:sz w:val="22"/>
                <w:szCs w:val="22"/>
                <w:lang w:eastAsia="en-US"/>
              </w:rPr>
              <w:t>MSR (Meets Some Requirements)</w:t>
            </w:r>
            <w:r w:rsidRPr="00AF7BBD">
              <w:rPr>
                <w:snapToGrid w:val="0"/>
                <w:kern w:val="28"/>
                <w:sz w:val="22"/>
                <w:szCs w:val="22"/>
                <w:lang w:eastAsia="en-US"/>
              </w:rPr>
              <w:t xml:space="preserve"> means that a partner is a registered organization that meets some eligibility and finance requirements of CARE.  It is anticipated that a Level 1 partner will progress to Level 2</w:t>
            </w:r>
          </w:p>
        </w:tc>
      </w:tr>
      <w:tr w:rsidR="00E15A94" w:rsidRPr="00AF7BBD" w:rsidTr="005D2FA9">
        <w:tc>
          <w:tcPr>
            <w:tcW w:w="0" w:type="auto"/>
            <w:vAlign w:val="center"/>
          </w:tcPr>
          <w:p w:rsidR="00E15A94" w:rsidRPr="00AF7BBD" w:rsidRDefault="00E15A94" w:rsidP="005D2FA9">
            <w:pPr>
              <w:pStyle w:val="BodyText2"/>
              <w:widowControl w:val="0"/>
              <w:suppressAutoHyphens/>
              <w:spacing w:before="120" w:line="240" w:lineRule="auto"/>
              <w:jc w:val="center"/>
              <w:rPr>
                <w:b/>
                <w:snapToGrid w:val="0"/>
                <w:kern w:val="28"/>
                <w:sz w:val="22"/>
                <w:szCs w:val="22"/>
                <w:lang w:eastAsia="en-US"/>
              </w:rPr>
            </w:pPr>
            <w:r w:rsidRPr="00AF7BBD">
              <w:rPr>
                <w:b/>
                <w:snapToGrid w:val="0"/>
                <w:kern w:val="28"/>
                <w:sz w:val="22"/>
                <w:szCs w:val="22"/>
                <w:lang w:eastAsia="en-US"/>
              </w:rPr>
              <w:t>2</w:t>
            </w:r>
          </w:p>
        </w:tc>
        <w:tc>
          <w:tcPr>
            <w:tcW w:w="0" w:type="auto"/>
          </w:tcPr>
          <w:p w:rsidR="00E15A94" w:rsidRPr="00AF7BBD" w:rsidRDefault="00E15A94" w:rsidP="005D2FA9">
            <w:pPr>
              <w:pStyle w:val="BodyText2"/>
              <w:widowControl w:val="0"/>
              <w:suppressAutoHyphens/>
              <w:spacing w:before="240" w:line="240" w:lineRule="auto"/>
              <w:ind w:left="235"/>
              <w:outlineLvl w:val="7"/>
              <w:rPr>
                <w:i/>
                <w:iCs/>
                <w:snapToGrid w:val="0"/>
                <w:kern w:val="28"/>
                <w:sz w:val="22"/>
                <w:szCs w:val="22"/>
                <w:lang w:eastAsia="en-US"/>
              </w:rPr>
            </w:pPr>
            <w:r w:rsidRPr="00AF7BBD">
              <w:rPr>
                <w:b/>
                <w:snapToGrid w:val="0"/>
                <w:kern w:val="28"/>
                <w:sz w:val="22"/>
                <w:szCs w:val="22"/>
                <w:lang w:eastAsia="en-US"/>
              </w:rPr>
              <w:t>MMR (Meets Most Requirements)</w:t>
            </w:r>
            <w:r w:rsidRPr="00AF7BBD">
              <w:rPr>
                <w:snapToGrid w:val="0"/>
                <w:kern w:val="28"/>
                <w:sz w:val="22"/>
                <w:szCs w:val="22"/>
                <w:lang w:eastAsia="en-US"/>
              </w:rPr>
              <w:t xml:space="preserve"> means that a partner is a registered organization that meets most eligibility and finance requirements of CARE. It is anticipated that a Level 2 partner will progress to Level 3</w:t>
            </w:r>
          </w:p>
        </w:tc>
      </w:tr>
      <w:tr w:rsidR="00E15A94" w:rsidRPr="00AF7BBD" w:rsidTr="005D2FA9">
        <w:tc>
          <w:tcPr>
            <w:tcW w:w="0" w:type="auto"/>
            <w:vAlign w:val="center"/>
          </w:tcPr>
          <w:p w:rsidR="00E15A94" w:rsidRPr="00AF7BBD" w:rsidRDefault="00E15A94" w:rsidP="005D2FA9">
            <w:pPr>
              <w:pStyle w:val="BodyText2"/>
              <w:widowControl w:val="0"/>
              <w:suppressAutoHyphens/>
              <w:spacing w:before="120" w:line="240" w:lineRule="auto"/>
              <w:jc w:val="center"/>
              <w:rPr>
                <w:b/>
                <w:snapToGrid w:val="0"/>
                <w:kern w:val="28"/>
                <w:sz w:val="22"/>
                <w:szCs w:val="22"/>
                <w:lang w:eastAsia="en-US"/>
              </w:rPr>
            </w:pPr>
            <w:r w:rsidRPr="00AF7BBD">
              <w:rPr>
                <w:b/>
                <w:snapToGrid w:val="0"/>
                <w:kern w:val="28"/>
                <w:sz w:val="22"/>
                <w:szCs w:val="22"/>
                <w:lang w:eastAsia="en-US"/>
              </w:rPr>
              <w:t>3</w:t>
            </w:r>
          </w:p>
        </w:tc>
        <w:tc>
          <w:tcPr>
            <w:tcW w:w="0" w:type="auto"/>
          </w:tcPr>
          <w:p w:rsidR="00E15A94" w:rsidRPr="00AF7BBD" w:rsidRDefault="00E15A94" w:rsidP="005D2FA9">
            <w:pPr>
              <w:pStyle w:val="BodyText2"/>
              <w:widowControl w:val="0"/>
              <w:suppressAutoHyphens/>
              <w:spacing w:before="240" w:line="240" w:lineRule="auto"/>
              <w:ind w:left="235"/>
              <w:outlineLvl w:val="7"/>
              <w:rPr>
                <w:b/>
                <w:snapToGrid w:val="0"/>
                <w:kern w:val="28"/>
                <w:sz w:val="22"/>
                <w:szCs w:val="22"/>
                <w:lang w:eastAsia="en-US"/>
              </w:rPr>
            </w:pPr>
            <w:r w:rsidRPr="00AF7BBD">
              <w:rPr>
                <w:b/>
                <w:snapToGrid w:val="0"/>
                <w:kern w:val="28"/>
                <w:sz w:val="22"/>
                <w:szCs w:val="22"/>
                <w:lang w:eastAsia="en-US"/>
              </w:rPr>
              <w:t>FMR (Fully Meet</w:t>
            </w:r>
            <w:r>
              <w:rPr>
                <w:b/>
                <w:snapToGrid w:val="0"/>
                <w:kern w:val="28"/>
                <w:sz w:val="22"/>
                <w:szCs w:val="22"/>
                <w:lang w:eastAsia="en-US"/>
              </w:rPr>
              <w:t>s</w:t>
            </w:r>
            <w:r w:rsidRPr="00AF7BBD">
              <w:rPr>
                <w:b/>
                <w:snapToGrid w:val="0"/>
                <w:kern w:val="28"/>
                <w:sz w:val="22"/>
                <w:szCs w:val="22"/>
                <w:lang w:eastAsia="en-US"/>
              </w:rPr>
              <w:t xml:space="preserve"> Requirements) </w:t>
            </w:r>
            <w:r w:rsidRPr="00AF7BBD">
              <w:rPr>
                <w:snapToGrid w:val="0"/>
                <w:kern w:val="28"/>
                <w:sz w:val="22"/>
                <w:szCs w:val="22"/>
                <w:lang w:eastAsia="en-US"/>
              </w:rPr>
              <w:t>means that a partner is a registered organization that fully meets eligibility and finance requirements of CARE</w:t>
            </w:r>
          </w:p>
        </w:tc>
      </w:tr>
    </w:tbl>
    <w:p w:rsidR="0097461B" w:rsidRDefault="0097461B"/>
    <w:sectPr w:rsidR="009746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AFF" w:usb1="4000ACFF" w:usb2="00000001" w:usb3="00000000" w:csb0="000001BF" w:csb1="00000000"/>
  </w:font>
  <w:font w:name="DaunPenh">
    <w:panose1 w:val="02000500000000020004"/>
    <w:charset w:val="00"/>
    <w:family w:val="auto"/>
    <w:pitch w:val="variable"/>
    <w:sig w:usb0="8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412"/>
    <w:multiLevelType w:val="multilevel"/>
    <w:tmpl w:val="473E7A54"/>
    <w:lvl w:ilvl="0">
      <w:start w:val="8"/>
      <w:numFmt w:val="decimal"/>
      <w:lvlText w:val="%1."/>
      <w:lvlJc w:val="left"/>
      <w:pPr>
        <w:ind w:left="1134" w:hanging="283"/>
      </w:pPr>
      <w:rPr>
        <w:rFonts w:cs="Times New Roman" w:hint="default"/>
      </w:rPr>
    </w:lvl>
    <w:lvl w:ilvl="1">
      <w:start w:val="1"/>
      <w:numFmt w:val="lowerLetter"/>
      <w:lvlText w:val="%2."/>
      <w:lvlJc w:val="left"/>
      <w:pPr>
        <w:ind w:left="3087" w:hanging="360"/>
      </w:pPr>
      <w:rPr>
        <w:rFonts w:cs="Times New Roman" w:hint="default"/>
      </w:rPr>
    </w:lvl>
    <w:lvl w:ilvl="2">
      <w:start w:val="1"/>
      <w:numFmt w:val="lowerRoman"/>
      <w:lvlText w:val="%3."/>
      <w:lvlJc w:val="right"/>
      <w:pPr>
        <w:ind w:left="3807" w:hanging="180"/>
      </w:pPr>
      <w:rPr>
        <w:rFonts w:cs="Times New Roman" w:hint="default"/>
      </w:rPr>
    </w:lvl>
    <w:lvl w:ilvl="3">
      <w:start w:val="1"/>
      <w:numFmt w:val="decimal"/>
      <w:lvlText w:val="%4."/>
      <w:lvlJc w:val="left"/>
      <w:pPr>
        <w:ind w:left="4527" w:hanging="360"/>
      </w:pPr>
      <w:rPr>
        <w:rFonts w:cs="Times New Roman" w:hint="default"/>
      </w:rPr>
    </w:lvl>
    <w:lvl w:ilvl="4">
      <w:start w:val="1"/>
      <w:numFmt w:val="lowerLetter"/>
      <w:lvlText w:val="%5."/>
      <w:lvlJc w:val="left"/>
      <w:pPr>
        <w:ind w:left="5247" w:hanging="360"/>
      </w:pPr>
      <w:rPr>
        <w:rFonts w:cs="Times New Roman" w:hint="default"/>
      </w:rPr>
    </w:lvl>
    <w:lvl w:ilvl="5">
      <w:start w:val="1"/>
      <w:numFmt w:val="lowerRoman"/>
      <w:lvlText w:val="%6."/>
      <w:lvlJc w:val="right"/>
      <w:pPr>
        <w:ind w:left="5967" w:hanging="180"/>
      </w:pPr>
      <w:rPr>
        <w:rFonts w:cs="Times New Roman" w:hint="default"/>
      </w:rPr>
    </w:lvl>
    <w:lvl w:ilvl="6">
      <w:start w:val="1"/>
      <w:numFmt w:val="decimal"/>
      <w:lvlText w:val="%7."/>
      <w:lvlJc w:val="left"/>
      <w:pPr>
        <w:ind w:left="6687" w:hanging="360"/>
      </w:pPr>
      <w:rPr>
        <w:rFonts w:cs="Times New Roman" w:hint="default"/>
      </w:rPr>
    </w:lvl>
    <w:lvl w:ilvl="7">
      <w:start w:val="1"/>
      <w:numFmt w:val="lowerLetter"/>
      <w:lvlText w:val="%8."/>
      <w:lvlJc w:val="left"/>
      <w:pPr>
        <w:ind w:left="7407" w:hanging="360"/>
      </w:pPr>
      <w:rPr>
        <w:rFonts w:cs="Times New Roman" w:hint="default"/>
      </w:rPr>
    </w:lvl>
    <w:lvl w:ilvl="8">
      <w:start w:val="1"/>
      <w:numFmt w:val="lowerRoman"/>
      <w:lvlText w:val="%9."/>
      <w:lvlJc w:val="right"/>
      <w:pPr>
        <w:ind w:left="8127" w:hanging="180"/>
      </w:pPr>
      <w:rPr>
        <w:rFonts w:cs="Times New Roman" w:hint="default"/>
      </w:rPr>
    </w:lvl>
  </w:abstractNum>
  <w:abstractNum w:abstractNumId="1" w15:restartNumberingAfterBreak="0">
    <w:nsid w:val="092448E3"/>
    <w:multiLevelType w:val="multilevel"/>
    <w:tmpl w:val="F166921E"/>
    <w:lvl w:ilvl="0">
      <w:start w:val="1"/>
      <w:numFmt w:val="decimal"/>
      <w:lvlText w:val="%1."/>
      <w:lvlJc w:val="left"/>
      <w:pPr>
        <w:ind w:left="567" w:hanging="264"/>
      </w:pPr>
      <w:rPr>
        <w:rFonts w:cs="Times New Roman" w:hint="default"/>
      </w:rPr>
    </w:lvl>
    <w:lvl w:ilvl="1">
      <w:start w:val="1"/>
      <w:numFmt w:val="lowerLetter"/>
      <w:lvlText w:val="%2."/>
      <w:lvlJc w:val="left"/>
      <w:pPr>
        <w:ind w:left="1383" w:hanging="360"/>
      </w:pPr>
      <w:rPr>
        <w:rFonts w:cs="Times New Roman" w:hint="default"/>
      </w:rPr>
    </w:lvl>
    <w:lvl w:ilvl="2">
      <w:start w:val="1"/>
      <w:numFmt w:val="lowerRoman"/>
      <w:lvlText w:val="%3."/>
      <w:lvlJc w:val="right"/>
      <w:pPr>
        <w:ind w:left="2103" w:hanging="180"/>
      </w:pPr>
      <w:rPr>
        <w:rFonts w:cs="Times New Roman" w:hint="default"/>
      </w:rPr>
    </w:lvl>
    <w:lvl w:ilvl="3">
      <w:start w:val="1"/>
      <w:numFmt w:val="decimal"/>
      <w:lvlText w:val="%4."/>
      <w:lvlJc w:val="left"/>
      <w:pPr>
        <w:ind w:left="2823" w:hanging="360"/>
      </w:pPr>
      <w:rPr>
        <w:rFonts w:cs="Times New Roman" w:hint="default"/>
      </w:rPr>
    </w:lvl>
    <w:lvl w:ilvl="4">
      <w:start w:val="1"/>
      <w:numFmt w:val="lowerLetter"/>
      <w:lvlText w:val="%5."/>
      <w:lvlJc w:val="left"/>
      <w:pPr>
        <w:ind w:left="3543" w:hanging="360"/>
      </w:pPr>
      <w:rPr>
        <w:rFonts w:cs="Times New Roman" w:hint="default"/>
      </w:rPr>
    </w:lvl>
    <w:lvl w:ilvl="5">
      <w:start w:val="1"/>
      <w:numFmt w:val="lowerRoman"/>
      <w:lvlText w:val="%6."/>
      <w:lvlJc w:val="right"/>
      <w:pPr>
        <w:ind w:left="4263" w:hanging="180"/>
      </w:pPr>
      <w:rPr>
        <w:rFonts w:cs="Times New Roman" w:hint="default"/>
      </w:rPr>
    </w:lvl>
    <w:lvl w:ilvl="6">
      <w:start w:val="1"/>
      <w:numFmt w:val="decimal"/>
      <w:lvlText w:val="%7."/>
      <w:lvlJc w:val="left"/>
      <w:pPr>
        <w:ind w:left="4983" w:hanging="360"/>
      </w:pPr>
      <w:rPr>
        <w:rFonts w:cs="Times New Roman" w:hint="default"/>
      </w:rPr>
    </w:lvl>
    <w:lvl w:ilvl="7">
      <w:start w:val="1"/>
      <w:numFmt w:val="lowerLetter"/>
      <w:lvlText w:val="%8."/>
      <w:lvlJc w:val="left"/>
      <w:pPr>
        <w:ind w:left="5703" w:hanging="360"/>
      </w:pPr>
      <w:rPr>
        <w:rFonts w:cs="Times New Roman" w:hint="default"/>
      </w:rPr>
    </w:lvl>
    <w:lvl w:ilvl="8">
      <w:start w:val="1"/>
      <w:numFmt w:val="lowerRoman"/>
      <w:lvlText w:val="%9."/>
      <w:lvlJc w:val="right"/>
      <w:pPr>
        <w:ind w:left="6423" w:hanging="180"/>
      </w:pPr>
      <w:rPr>
        <w:rFonts w:cs="Times New Roman" w:hint="default"/>
      </w:rPr>
    </w:lvl>
  </w:abstractNum>
  <w:abstractNum w:abstractNumId="2" w15:restartNumberingAfterBreak="0">
    <w:nsid w:val="70BF14DE"/>
    <w:multiLevelType w:val="hybridMultilevel"/>
    <w:tmpl w:val="0C3E2A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6A445046">
      <w:numFmt w:val="bullet"/>
      <w:lvlText w:val="•"/>
      <w:lvlJc w:val="left"/>
      <w:pPr>
        <w:ind w:left="2220" w:hanging="420"/>
      </w:pPr>
      <w:rPr>
        <w:rFonts w:ascii="Times New Roman" w:eastAsia="Times New Roman" w:hAnsi="Times New Roman"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F4"/>
    <w:rsid w:val="0097461B"/>
    <w:rsid w:val="009A23F4"/>
    <w:rsid w:val="00E15A94"/>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129A"/>
  <w15:chartTrackingRefBased/>
  <w15:docId w15:val="{3C310031-92A9-4EDB-B9C2-CFC0ECB1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9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Numbered Para 1,Bullet 1,Bullet Points,List Paragraph2,MAIN CONTENT,List Paragraph12,ANNEX,Bull"/>
    <w:basedOn w:val="Normal"/>
    <w:link w:val="ListParagraphChar"/>
    <w:uiPriority w:val="34"/>
    <w:qFormat/>
    <w:rsid w:val="00E15A94"/>
    <w:pPr>
      <w:ind w:left="720"/>
      <w:contextualSpacing/>
    </w:pPr>
  </w:style>
  <w:style w:type="paragraph" w:styleId="BodyText2">
    <w:name w:val="Body Text 2"/>
    <w:basedOn w:val="Normal"/>
    <w:link w:val="BodyText2Char"/>
    <w:uiPriority w:val="99"/>
    <w:semiHidden/>
    <w:unhideWhenUsed/>
    <w:rsid w:val="00E15A94"/>
    <w:pPr>
      <w:spacing w:after="120" w:line="480" w:lineRule="auto"/>
    </w:pPr>
  </w:style>
  <w:style w:type="character" w:customStyle="1" w:styleId="BodyText2Char">
    <w:name w:val="Body Text 2 Char"/>
    <w:basedOn w:val="DefaultParagraphFont"/>
    <w:link w:val="BodyText2"/>
    <w:uiPriority w:val="99"/>
    <w:semiHidden/>
    <w:rsid w:val="00E15A94"/>
    <w:rPr>
      <w:rFonts w:ascii="Times New Roman" w:eastAsia="Times New Roman" w:hAnsi="Times New Roman" w:cs="Times New Roman"/>
      <w:sz w:val="24"/>
      <w:szCs w:val="24"/>
      <w:lang w:eastAsia="en-GB"/>
    </w:rPr>
  </w:style>
  <w:style w:type="character" w:customStyle="1" w:styleId="ListParagraphChar">
    <w:name w:val="List Paragraph Char"/>
    <w:aliases w:val="Dot pt Char,F5 List Paragraph Char,List Paragraph1 Char,List Paragraph Char Char Char Char,Indicator Text Char,Numbered Para 1 Char,Bullet 1 Char,Bullet Points Char,List Paragraph2 Char,MAIN CONTENT Char,List Paragraph12 Char"/>
    <w:link w:val="ListParagraph"/>
    <w:uiPriority w:val="34"/>
    <w:qFormat/>
    <w:locked/>
    <w:rsid w:val="00E15A9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952</Words>
  <Characters>5429</Characters>
  <Application>Microsoft Office Word</Application>
  <DocSecurity>0</DocSecurity>
  <Lines>45</Lines>
  <Paragraphs>12</Paragraphs>
  <ScaleCrop>false</ScaleCrop>
  <Company>CARE Australia</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Phoeurn, Sokchan</dc:creator>
  <cp:keywords/>
  <dc:description/>
  <cp:lastModifiedBy>Phoeurn, Sokchan</cp:lastModifiedBy>
  <cp:revision>2</cp:revision>
  <dcterms:created xsi:type="dcterms:W3CDTF">2020-01-14T10:08:00Z</dcterms:created>
  <dcterms:modified xsi:type="dcterms:W3CDTF">2020-01-14T10:11:00Z</dcterms:modified>
</cp:coreProperties>
</file>